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37" w:rsidRPr="00A3371F" w:rsidRDefault="00675317" w:rsidP="006B2A0F">
      <w:pPr>
        <w:spacing w:line="240" w:lineRule="auto"/>
        <w:rPr>
          <w:rFonts w:ascii="Times New Roman" w:hAnsi="Times New Roman" w:cs="Times New Roman"/>
          <w:b/>
          <w:sz w:val="28"/>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6B2A0F" w:rsidRPr="00A3371F">
        <w:rPr>
          <w:rFonts w:ascii="Times New Roman" w:hAnsi="Times New Roman" w:cs="Times New Roman"/>
          <w:b/>
          <w:sz w:val="28"/>
        </w:rPr>
        <w:t>“Año del Fomento de las Exportaciones”</w:t>
      </w:r>
    </w:p>
    <w:p w:rsidR="00F30DC6" w:rsidRPr="00A3371F" w:rsidRDefault="00391097">
      <w:r w:rsidRPr="00A3371F">
        <w:tab/>
      </w:r>
      <w:r w:rsidRPr="00A3371F">
        <w:tab/>
      </w:r>
      <w:r w:rsidRPr="00A3371F">
        <w:tab/>
      </w:r>
      <w:r w:rsidRPr="00A3371F">
        <w:tab/>
      </w:r>
      <w:r w:rsidRPr="00A3371F">
        <w:tab/>
      </w:r>
    </w:p>
    <w:p w:rsidR="00722944" w:rsidRPr="00A3371F" w:rsidRDefault="00722944" w:rsidP="00722944">
      <w:pPr>
        <w:keepNext/>
        <w:tabs>
          <w:tab w:val="left" w:pos="-360"/>
        </w:tabs>
        <w:suppressAutoHyphens/>
        <w:spacing w:after="0" w:line="360" w:lineRule="auto"/>
        <w:jc w:val="center"/>
        <w:outlineLvl w:val="1"/>
        <w:rPr>
          <w:rFonts w:ascii="Century" w:eastAsia="Times New Roman" w:hAnsi="Century" w:cs="Times New Roman"/>
          <w:b/>
          <w:bCs/>
          <w:noProof/>
          <w:sz w:val="32"/>
          <w:szCs w:val="32"/>
          <w:lang w:eastAsia="es-DO"/>
        </w:rPr>
      </w:pPr>
      <w:r w:rsidRPr="00A3371F">
        <w:rPr>
          <w:rFonts w:ascii="Century" w:eastAsia="Times New Roman" w:hAnsi="Century" w:cs="Times New Roman"/>
          <w:b/>
          <w:bCs/>
          <w:noProof/>
          <w:sz w:val="32"/>
          <w:szCs w:val="32"/>
          <w:lang w:eastAsia="es-DO"/>
        </w:rPr>
        <w:t>ESTADOS FINANCIEROS</w:t>
      </w:r>
    </w:p>
    <w:p w:rsidR="00722944" w:rsidRPr="00A3371F" w:rsidRDefault="00722944" w:rsidP="00722944">
      <w:pPr>
        <w:tabs>
          <w:tab w:val="center" w:pos="4320"/>
          <w:tab w:val="right" w:pos="8640"/>
        </w:tabs>
        <w:spacing w:after="0" w:line="240" w:lineRule="auto"/>
        <w:jc w:val="center"/>
        <w:rPr>
          <w:rFonts w:ascii="Century" w:eastAsia="Times New Roman" w:hAnsi="Century" w:cs="Times New Roman"/>
          <w:b/>
          <w:sz w:val="24"/>
          <w:szCs w:val="24"/>
        </w:rPr>
      </w:pPr>
      <w:r w:rsidRPr="00A3371F">
        <w:rPr>
          <w:rFonts w:ascii="Century" w:eastAsia="Times New Roman" w:hAnsi="Century" w:cs="Times New Roman"/>
          <w:b/>
          <w:noProof/>
          <w:sz w:val="24"/>
          <w:szCs w:val="28"/>
          <w:lang w:eastAsia="es-DO"/>
        </w:rPr>
        <w:t>NOTAS ACLARATORIAS A LOS ESTADOS FINANCIEROS</w:t>
      </w:r>
    </w:p>
    <w:p w:rsidR="00722944" w:rsidRPr="00A3371F" w:rsidRDefault="00722944" w:rsidP="00722944">
      <w:pPr>
        <w:spacing w:after="0" w:line="192" w:lineRule="auto"/>
        <w:contextualSpacing/>
        <w:jc w:val="both"/>
        <w:textAlignment w:val="baseline"/>
        <w:rPr>
          <w:rFonts w:ascii="Times New Roman" w:eastAsia="Times New Roman" w:hAnsi="Times New Roman" w:cs="Times New Roman"/>
          <w:sz w:val="28"/>
          <w:szCs w:val="28"/>
          <w:lang w:eastAsia="es-ES" w:bidi="he-IL"/>
        </w:rPr>
      </w:pPr>
    </w:p>
    <w:p w:rsidR="00722944" w:rsidRPr="00A3371F" w:rsidRDefault="00ED25AC" w:rsidP="00722944">
      <w:pPr>
        <w:keepNext/>
        <w:tabs>
          <w:tab w:val="left" w:pos="360"/>
        </w:tabs>
        <w:suppressAutoHyphens/>
        <w:spacing w:after="0"/>
        <w:jc w:val="both"/>
        <w:outlineLvl w:val="1"/>
        <w:rPr>
          <w:rFonts w:ascii="Century" w:eastAsia="Times New Roman" w:hAnsi="Century" w:cs="Times New Roman"/>
          <w:b/>
          <w:bCs/>
          <w:lang w:eastAsia="es-ES" w:bidi="he-IL"/>
        </w:rPr>
      </w:pPr>
      <w:bookmarkStart w:id="0" w:name="_Toc208202775"/>
      <w:bookmarkStart w:id="1" w:name="_Toc207181353"/>
      <w:bookmarkStart w:id="2" w:name="_Toc191191200"/>
      <w:bookmarkStart w:id="3" w:name="_Toc180760078"/>
      <w:bookmarkStart w:id="4" w:name="_Toc155686836"/>
      <w:r>
        <w:rPr>
          <w:rFonts w:ascii="Century" w:eastAsia="Times New Roman" w:hAnsi="Century" w:cs="Times New Roman"/>
          <w:b/>
          <w:bCs/>
          <w:lang w:eastAsia="es-ES" w:bidi="he-IL"/>
        </w:rPr>
        <w:t>NOTA I:</w:t>
      </w:r>
      <w:r w:rsidR="00722944" w:rsidRPr="00A3371F">
        <w:rPr>
          <w:rFonts w:ascii="Century" w:eastAsia="Times New Roman" w:hAnsi="Century" w:cs="Times New Roman"/>
          <w:b/>
          <w:bCs/>
          <w:lang w:eastAsia="es-ES" w:bidi="he-IL"/>
        </w:rPr>
        <w:t xml:space="preserve"> Entidad Económica</w:t>
      </w:r>
      <w:bookmarkEnd w:id="0"/>
      <w:bookmarkEnd w:id="1"/>
      <w:bookmarkEnd w:id="2"/>
      <w:bookmarkEnd w:id="3"/>
      <w:bookmarkEnd w:id="4"/>
    </w:p>
    <w:p w:rsidR="00722944" w:rsidRPr="00A3371F" w:rsidRDefault="00722944" w:rsidP="00722944">
      <w:pPr>
        <w:spacing w:after="0"/>
        <w:jc w:val="both"/>
        <w:rPr>
          <w:rFonts w:ascii="Century" w:eastAsia="Times New Roman" w:hAnsi="Century" w:cs="Times New Roman"/>
          <w:lang w:eastAsia="es-ES" w:bidi="he-IL"/>
        </w:rPr>
      </w:pPr>
    </w:p>
    <w:p w:rsidR="00722944" w:rsidRPr="00A3371F" w:rsidRDefault="00722944" w:rsidP="00722944">
      <w:pPr>
        <w:spacing w:after="0"/>
        <w:jc w:val="both"/>
        <w:rPr>
          <w:rFonts w:ascii="Century" w:eastAsia="Times New Roman" w:hAnsi="Century" w:cs="Times New Roman"/>
          <w:b/>
          <w:iCs/>
        </w:rPr>
      </w:pPr>
      <w:r w:rsidRPr="00A3371F">
        <w:rPr>
          <w:rFonts w:ascii="Century" w:eastAsia="Times New Roman" w:hAnsi="Century" w:cs="Times New Roman"/>
          <w:lang w:val="es-ES_tradnl" w:eastAsia="es-ES" w:bidi="he-IL"/>
        </w:rPr>
        <w:t xml:space="preserve">El </w:t>
      </w:r>
      <w:r w:rsidR="00631FF2" w:rsidRPr="00A3371F">
        <w:rPr>
          <w:rFonts w:ascii="Century" w:eastAsia="Times New Roman" w:hAnsi="Century" w:cs="Times New Roman"/>
          <w:lang w:val="es-ES_tradnl" w:eastAsia="es-ES" w:bidi="he-IL"/>
        </w:rPr>
        <w:t>Instituto</w:t>
      </w:r>
      <w:r w:rsidRPr="00A3371F">
        <w:rPr>
          <w:rFonts w:ascii="Century" w:eastAsia="Times New Roman" w:hAnsi="Century" w:cs="Times New Roman"/>
          <w:lang w:val="es-ES_tradnl" w:eastAsia="es-ES" w:bidi="he-IL"/>
        </w:rPr>
        <w:t xml:space="preserve"> Dominicano del Café fue creado mediante la Ley No.</w:t>
      </w:r>
      <w:r w:rsidR="00631FF2" w:rsidRPr="00A3371F">
        <w:rPr>
          <w:rFonts w:ascii="Century" w:eastAsia="Times New Roman" w:hAnsi="Century" w:cs="Times New Roman"/>
          <w:lang w:val="es-ES_tradnl" w:eastAsia="es-ES" w:bidi="he-IL"/>
        </w:rPr>
        <w:t>246</w:t>
      </w:r>
      <w:r w:rsidRPr="00A3371F">
        <w:rPr>
          <w:rFonts w:ascii="Century" w:eastAsia="Times New Roman" w:hAnsi="Century" w:cs="Times New Roman"/>
          <w:lang w:val="es-ES_tradnl" w:eastAsia="es-ES" w:bidi="he-IL"/>
        </w:rPr>
        <w:t>-</w:t>
      </w:r>
      <w:r w:rsidR="00F93464">
        <w:rPr>
          <w:rFonts w:ascii="Century" w:eastAsia="Times New Roman" w:hAnsi="Century" w:cs="Times New Roman"/>
          <w:lang w:val="es-ES_tradnl" w:eastAsia="es-ES" w:bidi="he-IL"/>
        </w:rPr>
        <w:t>17</w:t>
      </w:r>
      <w:r w:rsidRPr="00A3371F">
        <w:rPr>
          <w:rFonts w:ascii="Century" w:eastAsia="Times New Roman" w:hAnsi="Century" w:cs="Times New Roman"/>
          <w:lang w:val="es-ES_tradnl" w:eastAsia="es-ES" w:bidi="he-IL"/>
        </w:rPr>
        <w:t xml:space="preserve">, adscrita al Ministerio de Agricultura.  Su objetivo principal es realizar operaciones que permitan que el sector cafetero cuente con un apoyo, el cual le permita competir </w:t>
      </w:r>
      <w:r w:rsidRPr="008B00FE">
        <w:rPr>
          <w:rFonts w:ascii="Century" w:eastAsia="Times New Roman" w:hAnsi="Century" w:cs="Times New Roman"/>
          <w:lang w:val="es-ES_tradnl" w:eastAsia="es-ES" w:bidi="he-IL"/>
        </w:rPr>
        <w:t>exitosamente en los mercados globalizados del presente y el futuro.</w:t>
      </w:r>
      <w:r w:rsidR="00F93464" w:rsidRPr="008B00FE">
        <w:rPr>
          <w:rFonts w:ascii="Century" w:eastAsia="Times New Roman" w:hAnsi="Century" w:cs="Times New Roman"/>
          <w:lang w:val="es-ES_tradnl" w:eastAsia="es-ES" w:bidi="he-IL"/>
        </w:rPr>
        <w:t xml:space="preserve"> Sus principales funcionarios </w:t>
      </w:r>
      <w:r w:rsidR="008E1AF3" w:rsidRPr="008B00FE">
        <w:rPr>
          <w:rFonts w:ascii="Century" w:eastAsia="Times New Roman" w:hAnsi="Century" w:cs="Times New Roman"/>
          <w:lang w:val="es-ES_tradnl" w:eastAsia="es-ES" w:bidi="he-IL"/>
        </w:rPr>
        <w:t>son:</w:t>
      </w:r>
      <w:r w:rsidR="00F93464" w:rsidRPr="008B00FE">
        <w:rPr>
          <w:rFonts w:ascii="Century" w:eastAsia="Times New Roman" w:hAnsi="Century" w:cs="Times New Roman"/>
          <w:lang w:val="es-ES_tradnl" w:eastAsia="es-ES" w:bidi="he-IL"/>
        </w:rPr>
        <w:t xml:space="preserve"> Ing. Agron. Marino S</w:t>
      </w:r>
      <w:r w:rsidR="008B00FE">
        <w:rPr>
          <w:rFonts w:ascii="Century" w:eastAsia="Times New Roman" w:hAnsi="Century" w:cs="Times New Roman"/>
          <w:lang w:val="es-ES_tradnl" w:eastAsia="es-ES" w:bidi="he-IL"/>
        </w:rPr>
        <w:t>uarez, Director Ejecutivo, Lic.</w:t>
      </w:r>
      <w:r w:rsidR="00F93464" w:rsidRPr="008B00FE">
        <w:rPr>
          <w:rFonts w:ascii="Century" w:eastAsia="Times New Roman" w:hAnsi="Century" w:cs="Times New Roman"/>
          <w:lang w:val="es-ES_tradnl" w:eastAsia="es-ES" w:bidi="he-IL"/>
        </w:rPr>
        <w:t>Nicolás Cáceres, Director Administrativo y Financiero,</w:t>
      </w:r>
      <w:r w:rsidR="008E1AF3" w:rsidRPr="008B00FE">
        <w:rPr>
          <w:rFonts w:ascii="Century" w:eastAsia="Times New Roman" w:hAnsi="Century" w:cs="Times New Roman"/>
          <w:lang w:val="es-ES_tradnl" w:eastAsia="es-ES" w:bidi="he-IL"/>
        </w:rPr>
        <w:t xml:space="preserve"> Concepción Ureña Cruz, Director Técnico, Ramón </w:t>
      </w:r>
      <w:r w:rsidR="003664C8" w:rsidRPr="008B00FE">
        <w:rPr>
          <w:rFonts w:ascii="Century" w:eastAsia="Times New Roman" w:hAnsi="Century" w:cs="Times New Roman"/>
          <w:lang w:val="es-ES_tradnl" w:eastAsia="es-ES" w:bidi="he-IL"/>
        </w:rPr>
        <w:t>Ramírez</w:t>
      </w:r>
      <w:r w:rsidR="008E1AF3" w:rsidRPr="008B00FE">
        <w:rPr>
          <w:rFonts w:ascii="Century" w:eastAsia="Times New Roman" w:hAnsi="Century" w:cs="Times New Roman"/>
          <w:lang w:val="es-ES_tradnl" w:eastAsia="es-ES" w:bidi="he-IL"/>
        </w:rPr>
        <w:t xml:space="preserve"> </w:t>
      </w:r>
      <w:r w:rsidR="003664C8" w:rsidRPr="008B00FE">
        <w:rPr>
          <w:rFonts w:ascii="Century" w:eastAsia="Times New Roman" w:hAnsi="Century" w:cs="Times New Roman"/>
          <w:lang w:val="es-ES_tradnl" w:eastAsia="es-ES" w:bidi="he-IL"/>
        </w:rPr>
        <w:t>Garabito,</w:t>
      </w:r>
      <w:r w:rsidR="008E1AF3" w:rsidRPr="008B00FE">
        <w:rPr>
          <w:rFonts w:ascii="Century" w:eastAsia="Times New Roman" w:hAnsi="Century" w:cs="Times New Roman"/>
          <w:lang w:val="es-ES_tradnl" w:eastAsia="es-ES" w:bidi="he-IL"/>
        </w:rPr>
        <w:t xml:space="preserve"> Encargado Depto. de Planificación.</w:t>
      </w:r>
    </w:p>
    <w:p w:rsidR="00722944" w:rsidRPr="00A3371F" w:rsidRDefault="00722944" w:rsidP="00722944">
      <w:pPr>
        <w:spacing w:after="0"/>
        <w:ind w:left="720"/>
        <w:jc w:val="both"/>
        <w:rPr>
          <w:rFonts w:ascii="Century" w:eastAsia="Times New Roman" w:hAnsi="Century" w:cs="Times New Roman"/>
          <w:b/>
          <w:iCs/>
        </w:rPr>
      </w:pPr>
    </w:p>
    <w:p w:rsidR="00722944" w:rsidRPr="00A3371F" w:rsidRDefault="003664C8"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 w:name="_Toc208202776"/>
      <w:bookmarkStart w:id="6" w:name="_Toc207181354"/>
      <w:bookmarkStart w:id="7" w:name="_Toc191191201"/>
      <w:bookmarkStart w:id="8" w:name="_Toc180760079"/>
      <w:bookmarkStart w:id="9" w:name="_Toc155686837"/>
      <w:r>
        <w:rPr>
          <w:rFonts w:ascii="Century" w:eastAsia="Times New Roman" w:hAnsi="Century" w:cs="Times New Roman"/>
          <w:b/>
          <w:bCs/>
          <w:lang w:eastAsia="es-ES" w:bidi="he-IL"/>
        </w:rPr>
        <w:t>NOTA II:</w:t>
      </w:r>
      <w:r w:rsidR="00722944" w:rsidRPr="00A3371F">
        <w:rPr>
          <w:rFonts w:ascii="Century" w:eastAsia="Times New Roman" w:hAnsi="Century" w:cs="Times New Roman"/>
          <w:b/>
          <w:bCs/>
          <w:lang w:eastAsia="es-ES" w:bidi="he-IL"/>
        </w:rPr>
        <w:t xml:space="preserve"> Base de preparación de los Estados Financieros</w:t>
      </w:r>
      <w:bookmarkEnd w:id="5"/>
      <w:bookmarkEnd w:id="6"/>
      <w:bookmarkEnd w:id="7"/>
      <w:bookmarkEnd w:id="8"/>
    </w:p>
    <w:p w:rsidR="00722944" w:rsidRPr="00A3371F" w:rsidRDefault="00722944" w:rsidP="00722944">
      <w:pPr>
        <w:tabs>
          <w:tab w:val="left" w:pos="900"/>
        </w:tabs>
        <w:spacing w:after="0"/>
        <w:jc w:val="both"/>
        <w:rPr>
          <w:rFonts w:ascii="Century" w:eastAsia="Times New Roman" w:hAnsi="Century" w:cs="Times New Roman"/>
          <w:b/>
        </w:rPr>
      </w:pPr>
    </w:p>
    <w:p w:rsidR="00722944" w:rsidRPr="00C55FB2"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La formulación de los Estados Financieros, de los cuales forman parte las presentes Notas, se basan fundamentalmente en la normativa contable emitida por la Dirección General de Contabilidad Gubernamental, y hasta donde es pos</w:t>
      </w:r>
      <w:bookmarkStart w:id="10" w:name="_GoBack"/>
      <w:bookmarkEnd w:id="10"/>
      <w:r w:rsidRPr="00C55FB2">
        <w:rPr>
          <w:rFonts w:ascii="Century" w:eastAsia="Times New Roman" w:hAnsi="Century" w:cs="Times New Roman"/>
        </w:rPr>
        <w:t>ible su aplicación, en las Normas Internacionales de Contabilidad para el Sector Público (NICSP).</w:t>
      </w:r>
    </w:p>
    <w:p w:rsidR="00710936" w:rsidRPr="00C55FB2" w:rsidRDefault="00710936" w:rsidP="00722944">
      <w:pPr>
        <w:tabs>
          <w:tab w:val="left" w:pos="900"/>
        </w:tabs>
        <w:spacing w:after="0"/>
        <w:jc w:val="both"/>
        <w:rPr>
          <w:rFonts w:ascii="Century" w:eastAsia="Times New Roman" w:hAnsi="Century" w:cs="Times New Roman"/>
        </w:rPr>
      </w:pPr>
    </w:p>
    <w:p w:rsidR="00710936" w:rsidRPr="00C55FB2" w:rsidRDefault="00710936" w:rsidP="00710936">
      <w:pPr>
        <w:tabs>
          <w:tab w:val="left" w:pos="900"/>
        </w:tabs>
        <w:spacing w:after="0"/>
        <w:jc w:val="both"/>
        <w:rPr>
          <w:rFonts w:ascii="Century" w:eastAsia="Times New Roman" w:hAnsi="Century" w:cs="Times New Roman"/>
        </w:rPr>
      </w:pPr>
      <w:r w:rsidRPr="00C55FB2">
        <w:rPr>
          <w:rFonts w:ascii="Century" w:eastAsia="Times New Roman" w:hAnsi="Century" w:cs="Times New Roman"/>
        </w:rPr>
        <w:t xml:space="preserve">Presenta su presupuesto aprobado según la base contable del efectivo y los Estados Financieros sobre la base de la acumulación o devengado conforme a las estipulaciones de la NICSP 24 </w:t>
      </w:r>
      <w:r w:rsidR="00275917" w:rsidRPr="00C55FB2">
        <w:rPr>
          <w:rFonts w:ascii="Century" w:eastAsia="Times New Roman" w:hAnsi="Century" w:cs="Times New Roman"/>
        </w:rPr>
        <w:t>“Presentación</w:t>
      </w:r>
      <w:r w:rsidRPr="00C55FB2">
        <w:rPr>
          <w:rFonts w:ascii="Century" w:eastAsia="Times New Roman" w:hAnsi="Century" w:cs="Times New Roman"/>
        </w:rPr>
        <w:t xml:space="preserve"> de información del Presupuesto de los Estados Financieros”.</w:t>
      </w:r>
    </w:p>
    <w:p w:rsidR="00231D5A" w:rsidRPr="00C55FB2" w:rsidRDefault="00231D5A" w:rsidP="00710936">
      <w:pPr>
        <w:tabs>
          <w:tab w:val="left" w:pos="900"/>
        </w:tabs>
        <w:spacing w:after="0"/>
        <w:jc w:val="both"/>
        <w:rPr>
          <w:rFonts w:ascii="Century" w:eastAsia="Times New Roman" w:hAnsi="Century" w:cs="Times New Roman"/>
        </w:rPr>
      </w:pPr>
    </w:p>
    <w:p w:rsidR="00231D5A" w:rsidRPr="00C55FB2" w:rsidRDefault="00231D5A" w:rsidP="00710936">
      <w:pPr>
        <w:tabs>
          <w:tab w:val="left" w:pos="900"/>
        </w:tabs>
        <w:spacing w:after="0"/>
        <w:jc w:val="both"/>
        <w:rPr>
          <w:rFonts w:ascii="Century" w:eastAsia="Times New Roman" w:hAnsi="Century" w:cs="Times New Roman"/>
        </w:rPr>
      </w:pPr>
      <w:r w:rsidRPr="00C55FB2">
        <w:rPr>
          <w:rFonts w:ascii="Century" w:eastAsia="Times New Roman" w:hAnsi="Century" w:cs="Times New Roman"/>
        </w:rPr>
        <w:t>El Presupuesto se aprueba según la base contable de efectivo siguiendo la clasificación de pago por funciones. El Presupuesto aprobado cubre el periodo fiscal desde</w:t>
      </w:r>
      <w:r w:rsidR="00C15CDD" w:rsidRPr="00C55FB2">
        <w:rPr>
          <w:rFonts w:ascii="Century" w:eastAsia="Times New Roman" w:hAnsi="Century" w:cs="Times New Roman"/>
        </w:rPr>
        <w:t xml:space="preserve"> 1 de en</w:t>
      </w:r>
      <w:r w:rsidR="00275917" w:rsidRPr="00C55FB2">
        <w:rPr>
          <w:rFonts w:ascii="Century" w:eastAsia="Times New Roman" w:hAnsi="Century" w:cs="Times New Roman"/>
        </w:rPr>
        <w:t>ero al 31 de diciembre del 2018 y es incluido como información suplementaria en los Estados Financieros y sus notas.</w:t>
      </w:r>
    </w:p>
    <w:p w:rsidR="00275917" w:rsidRPr="00C55FB2" w:rsidRDefault="00275917" w:rsidP="00710936">
      <w:pPr>
        <w:tabs>
          <w:tab w:val="left" w:pos="900"/>
        </w:tabs>
        <w:spacing w:after="0"/>
        <w:jc w:val="both"/>
        <w:rPr>
          <w:rFonts w:ascii="Century" w:eastAsia="Times New Roman" w:hAnsi="Century" w:cs="Times New Roman"/>
        </w:rPr>
      </w:pPr>
      <w:r w:rsidRPr="00C55FB2">
        <w:rPr>
          <w:rFonts w:ascii="Century" w:eastAsia="Times New Roman" w:hAnsi="Century" w:cs="Times New Roman"/>
        </w:rPr>
        <w:t>La emisión y aprobación final de los Estados Financieros debe ser autorizada por el funcionario de más alto nivel.</w:t>
      </w:r>
    </w:p>
    <w:p w:rsidR="00275917" w:rsidRPr="00C55FB2" w:rsidRDefault="00275917" w:rsidP="00710936">
      <w:pPr>
        <w:tabs>
          <w:tab w:val="left" w:pos="900"/>
        </w:tabs>
        <w:spacing w:after="0"/>
        <w:jc w:val="both"/>
        <w:rPr>
          <w:rFonts w:ascii="Century" w:eastAsia="Times New Roman" w:hAnsi="Century" w:cs="Times New Roman"/>
        </w:rPr>
      </w:pPr>
    </w:p>
    <w:p w:rsidR="00722944" w:rsidRPr="00C55FB2" w:rsidRDefault="00722944" w:rsidP="00722944">
      <w:pPr>
        <w:tabs>
          <w:tab w:val="left" w:pos="900"/>
        </w:tabs>
        <w:spacing w:after="0"/>
        <w:jc w:val="both"/>
        <w:rPr>
          <w:rFonts w:ascii="Century" w:eastAsia="Times New Roman" w:hAnsi="Century" w:cs="Times New Roman"/>
          <w:b/>
          <w:i/>
        </w:rPr>
      </w:pPr>
    </w:p>
    <w:p w:rsidR="00722944" w:rsidRPr="00C55FB2" w:rsidRDefault="008B00FE" w:rsidP="00722944">
      <w:pPr>
        <w:tabs>
          <w:tab w:val="left" w:pos="900"/>
        </w:tabs>
        <w:spacing w:after="0"/>
        <w:jc w:val="both"/>
        <w:rPr>
          <w:rFonts w:ascii="Century" w:eastAsia="Times New Roman" w:hAnsi="Century" w:cs="Times New Roman"/>
        </w:rPr>
      </w:pPr>
      <w:r w:rsidRPr="00C55FB2">
        <w:rPr>
          <w:rFonts w:ascii="Century" w:eastAsia="Times New Roman" w:hAnsi="Century" w:cs="Times New Roman"/>
        </w:rPr>
        <w:t>L</w:t>
      </w:r>
      <w:r w:rsidR="00722944" w:rsidRPr="00C55FB2">
        <w:rPr>
          <w:rFonts w:ascii="Century" w:eastAsia="Times New Roman" w:hAnsi="Century" w:cs="Times New Roman"/>
        </w:rPr>
        <w:t xml:space="preserve">os Estados Financieros del </w:t>
      </w:r>
      <w:r w:rsidR="00631FF2" w:rsidRPr="00C55FB2">
        <w:rPr>
          <w:rFonts w:ascii="Century" w:eastAsia="Times New Roman" w:hAnsi="Century" w:cs="Times New Roman"/>
        </w:rPr>
        <w:t>Instituto</w:t>
      </w:r>
      <w:r w:rsidR="00722944" w:rsidRPr="00C55FB2">
        <w:rPr>
          <w:rFonts w:ascii="Century" w:eastAsia="Times New Roman" w:hAnsi="Century" w:cs="Times New Roman"/>
        </w:rPr>
        <w:t xml:space="preserve"> Dominicano del Café están elaborados de conformidad con la Ley No. 126-01, su Reglamento de Aplicación y las Normas de Cierre, emitidas por la Dirección General de Contabilidad Gubernamental (DIGECOG) para el año 2008.</w:t>
      </w:r>
    </w:p>
    <w:p w:rsidR="00710936" w:rsidRPr="00C55FB2" w:rsidRDefault="00710936" w:rsidP="00722944">
      <w:pPr>
        <w:tabs>
          <w:tab w:val="left" w:pos="900"/>
        </w:tabs>
        <w:spacing w:after="0"/>
        <w:jc w:val="both"/>
        <w:rPr>
          <w:rFonts w:ascii="Century" w:eastAsia="Times New Roman" w:hAnsi="Century" w:cs="Times New Roman"/>
        </w:rPr>
      </w:pPr>
    </w:p>
    <w:bookmarkEnd w:id="9"/>
    <w:p w:rsidR="00722944" w:rsidRPr="00C55FB2" w:rsidRDefault="00722944" w:rsidP="00722944">
      <w:pPr>
        <w:tabs>
          <w:tab w:val="left" w:pos="900"/>
        </w:tabs>
        <w:spacing w:after="0"/>
        <w:jc w:val="both"/>
        <w:rPr>
          <w:rFonts w:ascii="Century" w:eastAsia="Times New Roman" w:hAnsi="Century" w:cs="Times New Roman"/>
        </w:rPr>
      </w:pPr>
    </w:p>
    <w:p w:rsidR="008B00FE" w:rsidRPr="00C55FB2" w:rsidRDefault="008B00FE"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1" w:name="_Toc208202778"/>
      <w:bookmarkStart w:id="12" w:name="_Toc207181356"/>
      <w:bookmarkStart w:id="13" w:name="_Toc191191203"/>
      <w:bookmarkStart w:id="14" w:name="_Toc180760081"/>
      <w:bookmarkStart w:id="15" w:name="_Toc155686838"/>
    </w:p>
    <w:p w:rsidR="00722944" w:rsidRPr="00C55FB2" w:rsidRDefault="008C3D57" w:rsidP="00722944">
      <w:pPr>
        <w:keepNext/>
        <w:tabs>
          <w:tab w:val="left" w:pos="900"/>
        </w:tabs>
        <w:suppressAutoHyphens/>
        <w:spacing w:after="0"/>
        <w:jc w:val="both"/>
        <w:outlineLvl w:val="1"/>
        <w:rPr>
          <w:rFonts w:ascii="Century" w:eastAsia="Times New Roman" w:hAnsi="Century" w:cs="Times New Roman"/>
          <w:b/>
          <w:bCs/>
          <w:lang w:eastAsia="es-ES" w:bidi="he-IL"/>
        </w:rPr>
      </w:pPr>
      <w:r w:rsidRPr="00C55FB2">
        <w:rPr>
          <w:rFonts w:ascii="Century" w:eastAsia="Times New Roman" w:hAnsi="Century" w:cs="Times New Roman"/>
          <w:b/>
          <w:bCs/>
          <w:lang w:eastAsia="es-ES" w:bidi="he-IL"/>
        </w:rPr>
        <w:t>NOTA III:</w:t>
      </w:r>
      <w:r w:rsidR="00722944" w:rsidRPr="00C55FB2">
        <w:rPr>
          <w:rFonts w:ascii="Century" w:eastAsia="Times New Roman" w:hAnsi="Century" w:cs="Times New Roman"/>
          <w:b/>
          <w:bCs/>
          <w:lang w:eastAsia="es-ES" w:bidi="he-IL"/>
        </w:rPr>
        <w:t xml:space="preserve"> </w:t>
      </w:r>
      <w:bookmarkEnd w:id="11"/>
      <w:bookmarkEnd w:id="12"/>
      <w:bookmarkEnd w:id="13"/>
      <w:bookmarkEnd w:id="14"/>
      <w:bookmarkEnd w:id="15"/>
      <w:r w:rsidRPr="00C55FB2">
        <w:rPr>
          <w:rFonts w:ascii="Century" w:eastAsia="Times New Roman" w:hAnsi="Century" w:cs="Times New Roman"/>
          <w:b/>
          <w:bCs/>
          <w:lang w:eastAsia="es-ES" w:bidi="he-IL"/>
        </w:rPr>
        <w:t>Moneda funcional y de presentación</w:t>
      </w:r>
    </w:p>
    <w:p w:rsidR="00722944" w:rsidRPr="00C55FB2" w:rsidRDefault="00722944" w:rsidP="00722944">
      <w:pPr>
        <w:keepNext/>
        <w:tabs>
          <w:tab w:val="left" w:pos="900"/>
        </w:tabs>
        <w:suppressAutoHyphens/>
        <w:spacing w:after="0"/>
        <w:jc w:val="both"/>
        <w:outlineLvl w:val="1"/>
        <w:rPr>
          <w:rFonts w:ascii="Century" w:eastAsia="Times New Roman" w:hAnsi="Century" w:cs="Times New Roman"/>
          <w:b/>
          <w:bCs/>
          <w:color w:val="000000"/>
          <w:lang w:bidi="he-IL"/>
        </w:rPr>
      </w:pPr>
    </w:p>
    <w:p w:rsidR="00722944" w:rsidRPr="00C55FB2"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 xml:space="preserve">La información contable presentada </w:t>
      </w:r>
      <w:bookmarkStart w:id="16" w:name="_Toc191191204"/>
      <w:bookmarkStart w:id="17" w:name="_Toc180760082"/>
      <w:bookmarkStart w:id="18" w:name="_Toc155686839"/>
      <w:r w:rsidR="008C3D57" w:rsidRPr="00C55FB2">
        <w:rPr>
          <w:rFonts w:ascii="Century" w:eastAsia="Times New Roman" w:hAnsi="Century" w:cs="Times New Roman"/>
          <w:color w:val="000000"/>
        </w:rPr>
        <w:t xml:space="preserve">en peso dominicano </w:t>
      </w:r>
      <w:proofErr w:type="gramStart"/>
      <w:r w:rsidR="008C3D57" w:rsidRPr="00C55FB2">
        <w:rPr>
          <w:rFonts w:ascii="Century" w:eastAsia="Times New Roman" w:hAnsi="Century" w:cs="Times New Roman"/>
          <w:color w:val="000000"/>
        </w:rPr>
        <w:t>( RD</w:t>
      </w:r>
      <w:proofErr w:type="gramEnd"/>
      <w:r w:rsidR="008C3D57" w:rsidRPr="00C55FB2">
        <w:rPr>
          <w:rFonts w:ascii="Century" w:eastAsia="Times New Roman" w:hAnsi="Century" w:cs="Times New Roman"/>
          <w:color w:val="000000"/>
        </w:rPr>
        <w:t>$) moneda de curso legal en República Dominicana</w:t>
      </w:r>
      <w:r w:rsidR="009619F0" w:rsidRPr="00C55FB2">
        <w:rPr>
          <w:rFonts w:ascii="Century" w:eastAsia="Times New Roman" w:hAnsi="Century" w:cs="Times New Roman"/>
          <w:color w:val="000000"/>
        </w:rPr>
        <w:t>.</w:t>
      </w:r>
    </w:p>
    <w:p w:rsidR="004A1EFE" w:rsidRPr="00C55FB2" w:rsidRDefault="004A1EFE"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C55FB2" w:rsidRDefault="009619F0" w:rsidP="009619F0">
      <w:pPr>
        <w:keepNext/>
        <w:tabs>
          <w:tab w:val="left" w:pos="900"/>
        </w:tabs>
        <w:suppressAutoHyphens/>
        <w:spacing w:after="0"/>
        <w:jc w:val="both"/>
        <w:outlineLvl w:val="1"/>
        <w:rPr>
          <w:rFonts w:ascii="Century" w:eastAsia="Times New Roman" w:hAnsi="Century" w:cs="Times New Roman"/>
          <w:b/>
          <w:bCs/>
          <w:lang w:eastAsia="es-ES" w:bidi="he-IL"/>
        </w:rPr>
      </w:pPr>
      <w:r w:rsidRPr="00C55FB2">
        <w:rPr>
          <w:rFonts w:ascii="Century" w:eastAsia="Times New Roman" w:hAnsi="Century" w:cs="Times New Roman"/>
          <w:b/>
          <w:bCs/>
          <w:lang w:eastAsia="es-ES" w:bidi="he-IL"/>
        </w:rPr>
        <w:t>NOTA IV: Uso de estimado y juicio</w:t>
      </w:r>
    </w:p>
    <w:p w:rsidR="00722944" w:rsidRPr="00C55FB2"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La presentación de los Estados Financieros de conformidad con las NICSP, requiere que la administración realice juicios, estimaciones y supuestos que afectan la aplicación de las Políticas Contables y los montos de los activos, pasivos, ingresos y gastos reportados. Los resultados reales pueden diferir en estas estimulaciones.</w:t>
      </w:r>
      <w:r w:rsidR="000A41C6" w:rsidRPr="00C55FB2">
        <w:rPr>
          <w:rFonts w:ascii="Century" w:eastAsia="Times New Roman" w:hAnsi="Century" w:cs="Times New Roman"/>
          <w:color w:val="000000"/>
        </w:rPr>
        <w:t xml:space="preserve"> </w:t>
      </w:r>
      <w:r w:rsidRPr="00C55FB2">
        <w:rPr>
          <w:rFonts w:ascii="Century" w:eastAsia="Times New Roman" w:hAnsi="Century" w:cs="Times New Roman"/>
          <w:color w:val="000000"/>
        </w:rPr>
        <w:t>Las estimulaciones y supuestos relevantes son revisados regularmente, las cuales son reconocidas prospectivamente.</w:t>
      </w: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Juicios:</w:t>
      </w: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9619F0" w:rsidRPr="00C55FB2"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La información sobre los juicios realizados en la aplicación de Políticas Contables que tienen el efecto más importantes sobre los montos reconocidos en los Estados Financieros de Rendimientos y Financieros se describe en las Notas referentes a Gastos Generales y Administrativos</w:t>
      </w:r>
      <w:r w:rsidR="001A22B9" w:rsidRPr="00C55FB2">
        <w:rPr>
          <w:rFonts w:ascii="Century" w:eastAsia="Times New Roman" w:hAnsi="Century" w:cs="Times New Roman"/>
          <w:color w:val="000000"/>
        </w:rPr>
        <w:t xml:space="preserve"> ( alquileres): se determina si un acuerdo contiene un arrendamiento y su clasificación.</w:t>
      </w: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Supuestos e incertidumbre en las estimaciones</w:t>
      </w: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La informaciones sobre los supuestos e incertidumbre de estimación que tienen</w:t>
      </w:r>
      <w:r w:rsidR="00B03440" w:rsidRPr="00C55FB2">
        <w:rPr>
          <w:rFonts w:ascii="Century" w:eastAsia="Times New Roman" w:hAnsi="Century" w:cs="Times New Roman"/>
          <w:color w:val="000000"/>
        </w:rPr>
        <w:t xml:space="preserve"> un </w:t>
      </w:r>
      <w:r w:rsidRPr="00C55FB2">
        <w:rPr>
          <w:rFonts w:ascii="Century" w:eastAsia="Times New Roman" w:hAnsi="Century" w:cs="Times New Roman"/>
          <w:color w:val="000000"/>
        </w:rPr>
        <w:t>riesgos significativos de resultar en un ajuste material en los años estimados al 31 de diciembre 2018 y 2017 se incluye en la Nota referente  a compromisos y contingencias; reconocimiento y medición de contingencia; supuestos claves relacionados con la probabilidad y magnitud de una salida de recursos económicos.</w:t>
      </w: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B03440" w:rsidRPr="00C55FB2" w:rsidRDefault="00B0344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Pr="00C55FB2"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Medición de los valores razonables</w:t>
      </w:r>
    </w:p>
    <w:p w:rsidR="00583A98" w:rsidRPr="00C55FB2"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p>
    <w:p w:rsidR="00293288" w:rsidRPr="00C55FB2"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La Entidad cuenta con un marco control establecidos en relación con el cálculo de los valores razonables y tiene la responsabilidad general por la supervisión de todas las mediciones significativas</w:t>
      </w:r>
      <w:r w:rsidR="00293288" w:rsidRPr="00C55FB2">
        <w:rPr>
          <w:rFonts w:ascii="Century" w:eastAsia="Times New Roman" w:hAnsi="Century" w:cs="Times New Roman"/>
          <w:color w:val="000000"/>
        </w:rPr>
        <w:t xml:space="preserve"> de este, incluyendo los de Nivel 3.Cuando se mide el valor razonable de un activo o pasivo, </w:t>
      </w:r>
      <w:r w:rsidR="000A41C6" w:rsidRPr="00C55FB2">
        <w:rPr>
          <w:rFonts w:ascii="Century" w:eastAsia="Times New Roman" w:hAnsi="Century" w:cs="Times New Roman"/>
          <w:color w:val="000000"/>
        </w:rPr>
        <w:t>el Instituto Dominicano del Café</w:t>
      </w:r>
      <w:r w:rsidR="00C16BB6" w:rsidRPr="00C55FB2">
        <w:rPr>
          <w:rFonts w:ascii="Century" w:eastAsia="Times New Roman" w:hAnsi="Century" w:cs="Times New Roman"/>
          <w:color w:val="000000"/>
        </w:rPr>
        <w:t xml:space="preserve"> utiliza siempre que sea posible, precio cotizado en el mercado activo.</w:t>
      </w:r>
    </w:p>
    <w:p w:rsidR="00B03440" w:rsidRPr="00C55FB2" w:rsidRDefault="00B03440"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C55FB2"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C55FB2"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C55FB2"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C55FB2"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Pr="00C55FB2" w:rsidRDefault="00C16BB6"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Si el Mercado para un activo o pasivo no es activo, la entidad establecerá el valor razonable utilizando una técnica de valoración. Con est</w:t>
      </w:r>
      <w:r w:rsidR="000A41C6" w:rsidRPr="00C55FB2">
        <w:rPr>
          <w:rFonts w:ascii="Century" w:eastAsia="Times New Roman" w:hAnsi="Century" w:cs="Times New Roman"/>
          <w:color w:val="000000"/>
        </w:rPr>
        <w:t>o</w:t>
      </w:r>
      <w:r w:rsidRPr="00C55FB2">
        <w:rPr>
          <w:rFonts w:ascii="Century" w:eastAsia="Times New Roman" w:hAnsi="Century" w:cs="Times New Roman"/>
          <w:color w:val="000000"/>
        </w:rPr>
        <w:t xml:space="preserve"> se busca establecer cuál sería el precio de una transacción reali</w:t>
      </w:r>
      <w:r w:rsidR="000A41C6" w:rsidRPr="00C55FB2">
        <w:rPr>
          <w:rFonts w:ascii="Century" w:eastAsia="Times New Roman" w:hAnsi="Century" w:cs="Times New Roman"/>
          <w:color w:val="000000"/>
        </w:rPr>
        <w:t xml:space="preserve">zada a la fecha de la medición. </w:t>
      </w:r>
    </w:p>
    <w:p w:rsidR="000A41C6" w:rsidRPr="00C55FB2"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C16BB6" w:rsidRPr="00C55FB2" w:rsidRDefault="000A41C6"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Estos</w:t>
      </w:r>
      <w:r w:rsidR="00C16BB6" w:rsidRPr="00C55FB2">
        <w:rPr>
          <w:rFonts w:ascii="Century" w:eastAsia="Times New Roman" w:hAnsi="Century" w:cs="Times New Roman"/>
          <w:b/>
          <w:color w:val="000000"/>
        </w:rPr>
        <w:t xml:space="preserve"> valores se clasifican en niveles distintos dentro de una jerarquía como las siguientes:</w:t>
      </w:r>
    </w:p>
    <w:p w:rsidR="00C16BB6" w:rsidRPr="00C55FB2" w:rsidRDefault="00C16BB6"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C16BB6"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Nivel 1: P</w:t>
      </w:r>
      <w:r w:rsidR="00C16BB6" w:rsidRPr="00C55FB2">
        <w:rPr>
          <w:rFonts w:ascii="Century" w:eastAsia="Times New Roman" w:hAnsi="Century" w:cs="Times New Roman"/>
          <w:color w:val="000000"/>
        </w:rPr>
        <w:t>recios</w:t>
      </w:r>
      <w:r w:rsidRPr="00C55FB2">
        <w:rPr>
          <w:rFonts w:ascii="Century" w:eastAsia="Times New Roman" w:hAnsi="Century" w:cs="Times New Roman"/>
          <w:color w:val="000000"/>
        </w:rPr>
        <w:t xml:space="preserve"> cotizados (no ajustados) en mercados activos para activo y pasivos idénticos.</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Nivel 2: Datos diferentes de los precios cotizados incluidos en el Nive</w:t>
      </w:r>
      <w:r w:rsidR="00B03440" w:rsidRPr="00C55FB2">
        <w:rPr>
          <w:rFonts w:ascii="Century" w:eastAsia="Times New Roman" w:hAnsi="Century" w:cs="Times New Roman"/>
          <w:color w:val="000000"/>
        </w:rPr>
        <w:t xml:space="preserve">l 1 que sean observables para el </w:t>
      </w:r>
      <w:r w:rsidRPr="00C55FB2">
        <w:rPr>
          <w:rFonts w:ascii="Century" w:eastAsia="Times New Roman" w:hAnsi="Century" w:cs="Times New Roman"/>
          <w:color w:val="000000"/>
        </w:rPr>
        <w:t>activo o pasivo, ya sea directa (precios) o indirectamente (derivados de los precios).</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Nivel 3: Datos para el Activo o pasivos que no se basan en los datos del mercado observables (variables no observables).</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Si las variables usadas para medir el valor razonable de un activo o pasivo pueden clasificarse en niveles distintos en la jerarquía del valor razonable, entonces la medición se clasifica en su totalidad en el mismo nivel de la jerarquía que las variables del nivel más bajo que sea significativa para la medición total.</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Pr="00C55FB2"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El Instituto Dominicano del Café reconoce la transferencia entre los niveles de la jerarquía del valor razonable al final del periodo sobre el que se informa el que ocurrió el cambio.</w:t>
      </w:r>
    </w:p>
    <w:p w:rsidR="00E060F4" w:rsidRPr="00C55FB2"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p>
    <w:p w:rsidR="00E060F4" w:rsidRPr="00C55FB2"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NOTA V: Base de Medición</w:t>
      </w:r>
    </w:p>
    <w:p w:rsidR="00E060F4" w:rsidRPr="00C55FB2"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E060F4" w:rsidRPr="00C55FB2"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sidRPr="00C55FB2">
        <w:rPr>
          <w:rFonts w:ascii="Century" w:eastAsia="Times New Roman" w:hAnsi="Century" w:cs="Times New Roman"/>
          <w:color w:val="000000"/>
        </w:rPr>
        <w:t>Los Estados Financieros se elaboran sobre la base del costo histórico, a excepción de los te</w:t>
      </w:r>
      <w:r w:rsidR="00B0510B" w:rsidRPr="00C55FB2">
        <w:rPr>
          <w:rFonts w:ascii="Century" w:eastAsia="Times New Roman" w:hAnsi="Century" w:cs="Times New Roman"/>
          <w:color w:val="000000"/>
        </w:rPr>
        <w:t>rrenos y edificios, los cuales son valuados mediante tasaciones realizadas por un experto externo.</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01477" w:rsidRPr="00C55FB2" w:rsidRDefault="00101477"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C55FB2">
        <w:rPr>
          <w:rFonts w:ascii="Century" w:eastAsia="Times New Roman" w:hAnsi="Century" w:cs="Times New Roman"/>
          <w:b/>
          <w:color w:val="000000"/>
        </w:rPr>
        <w:t>NOTA VI: Resumen de Políticas Contables significativas.</w:t>
      </w:r>
    </w:p>
    <w:p w:rsidR="001515BF" w:rsidRPr="00C55FB2"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01477" w:rsidRPr="00C55FB2" w:rsidRDefault="00CE663F" w:rsidP="00101477">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Las políticas comprende un </w:t>
      </w:r>
      <w:r w:rsidR="00101477" w:rsidRPr="00C55FB2">
        <w:rPr>
          <w:rFonts w:ascii="Century" w:eastAsia="Times New Roman" w:hAnsi="Century" w:cs="Times New Roman"/>
          <w:lang w:eastAsia="es-ES" w:bidi="he-IL"/>
        </w:rPr>
        <w:t xml:space="preserve"> Plan de Organización, Métodos y Medidas adoptados por la institución para salvaguardar sus activos, revisar la exactitud y confiabilidad de sus registros contables, promover la eficiencia en las operaciones y fomentar la adhesión a las políticas administrativas prescrit</w:t>
      </w:r>
      <w:r w:rsidR="008C47B3" w:rsidRPr="00C55FB2">
        <w:rPr>
          <w:rFonts w:ascii="Century" w:eastAsia="Times New Roman" w:hAnsi="Century" w:cs="Times New Roman"/>
          <w:lang w:eastAsia="es-ES" w:bidi="he-IL"/>
        </w:rPr>
        <w:t xml:space="preserve">as por las leyes y reglamentos. </w:t>
      </w:r>
      <w:r w:rsidR="00101477" w:rsidRPr="00C55FB2">
        <w:rPr>
          <w:rFonts w:ascii="Century" w:eastAsia="Times New Roman" w:hAnsi="Century" w:cs="Times New Roman"/>
          <w:lang w:eastAsia="es-ES" w:bidi="he-IL"/>
        </w:rPr>
        <w:t xml:space="preserve"> Tiene como objetivo permitir que la institución, cuente con un instrumento referencial para medir o evaluar la eficiencia de su aplicación.</w:t>
      </w:r>
    </w:p>
    <w:p w:rsidR="00101477" w:rsidRPr="00C55FB2" w:rsidRDefault="00101477" w:rsidP="00101477">
      <w:pPr>
        <w:spacing w:after="0"/>
        <w:contextualSpacing/>
        <w:jc w:val="both"/>
        <w:textAlignment w:val="baseline"/>
        <w:rPr>
          <w:rFonts w:ascii="Century" w:eastAsia="Times New Roman" w:hAnsi="Century" w:cs="Times New Roman"/>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CE663F" w:rsidRPr="00C55FB2" w:rsidRDefault="00CE663F" w:rsidP="00101477">
      <w:pPr>
        <w:spacing w:after="0"/>
        <w:contextualSpacing/>
        <w:jc w:val="both"/>
        <w:textAlignment w:val="baseline"/>
        <w:rPr>
          <w:rFonts w:ascii="Century" w:eastAsia="Times New Roman" w:hAnsi="Century" w:cs="Times New Roman"/>
          <w:b/>
          <w:lang w:eastAsia="es-ES" w:bidi="he-IL"/>
        </w:rPr>
      </w:pPr>
    </w:p>
    <w:p w:rsidR="00101477" w:rsidRPr="00C55FB2" w:rsidRDefault="00101477" w:rsidP="00101477">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 xml:space="preserve">Instrumentos financieros: </w:t>
      </w:r>
    </w:p>
    <w:p w:rsidR="00101477" w:rsidRPr="00C55FB2" w:rsidRDefault="00101477" w:rsidP="00101477">
      <w:pPr>
        <w:spacing w:after="0"/>
        <w:contextualSpacing/>
        <w:jc w:val="both"/>
        <w:textAlignment w:val="baseline"/>
        <w:rPr>
          <w:rFonts w:ascii="Century" w:eastAsia="Times New Roman" w:hAnsi="Century" w:cs="Times New Roman"/>
          <w:b/>
          <w:lang w:eastAsia="es-ES" w:bidi="he-IL"/>
        </w:rPr>
      </w:pPr>
    </w:p>
    <w:p w:rsidR="00101477" w:rsidRPr="00C55FB2" w:rsidRDefault="00910BFC" w:rsidP="00101477">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w:t>
      </w:r>
      <w:r w:rsidR="0063308B" w:rsidRPr="00C55FB2">
        <w:rPr>
          <w:rFonts w:ascii="Century" w:eastAsia="Times New Roman" w:hAnsi="Century" w:cs="Times New Roman"/>
          <w:lang w:eastAsia="es-ES" w:bidi="he-IL"/>
        </w:rPr>
        <w:t xml:space="preserve">to Dominicano del Café clasifica </w:t>
      </w:r>
      <w:r w:rsidR="00101477" w:rsidRPr="00C55FB2">
        <w:rPr>
          <w:rFonts w:ascii="Century" w:eastAsia="Times New Roman" w:hAnsi="Century" w:cs="Times New Roman"/>
          <w:lang w:eastAsia="es-ES" w:bidi="he-IL"/>
        </w:rPr>
        <w:t xml:space="preserve"> lo</w:t>
      </w:r>
      <w:r w:rsidR="0063308B" w:rsidRPr="00C55FB2">
        <w:rPr>
          <w:rFonts w:ascii="Century" w:eastAsia="Times New Roman" w:hAnsi="Century" w:cs="Times New Roman"/>
          <w:lang w:eastAsia="es-ES" w:bidi="he-IL"/>
        </w:rPr>
        <w:t>s activos y pasivos financieros dentro de los activos no corrientes y pasivos no corrientes.</w:t>
      </w:r>
    </w:p>
    <w:p w:rsidR="00101477" w:rsidRPr="00C55FB2" w:rsidRDefault="00101477" w:rsidP="00101477">
      <w:pPr>
        <w:spacing w:after="0"/>
        <w:contextualSpacing/>
        <w:jc w:val="both"/>
        <w:textAlignment w:val="baseline"/>
        <w:rPr>
          <w:rFonts w:ascii="Century" w:eastAsia="Times New Roman" w:hAnsi="Century" w:cs="Times New Roman"/>
          <w:lang w:eastAsia="es-ES" w:bidi="he-IL"/>
        </w:rPr>
      </w:pPr>
    </w:p>
    <w:p w:rsidR="00101477" w:rsidRPr="00C55FB2" w:rsidRDefault="00101477" w:rsidP="00101477">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Activos y Pasivos financieros no derivados – reconocimiento baja en cuentas</w:t>
      </w:r>
    </w:p>
    <w:p w:rsidR="00101477" w:rsidRPr="00C55FB2" w:rsidRDefault="00101477" w:rsidP="00101477">
      <w:pPr>
        <w:spacing w:after="0"/>
        <w:contextualSpacing/>
        <w:jc w:val="both"/>
        <w:textAlignment w:val="baseline"/>
        <w:rPr>
          <w:rFonts w:ascii="Century" w:eastAsia="Times New Roman" w:hAnsi="Century" w:cs="Times New Roman"/>
          <w:b/>
          <w:lang w:eastAsia="es-ES" w:bidi="he-IL"/>
        </w:rPr>
      </w:pPr>
    </w:p>
    <w:p w:rsidR="00101477" w:rsidRPr="00C55FB2" w:rsidRDefault="004074FE" w:rsidP="00101477">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lang w:eastAsia="es-ES" w:bidi="he-IL"/>
        </w:rPr>
        <w:t xml:space="preserve">El Instituto Dominicano del Café </w:t>
      </w:r>
      <w:r w:rsidR="00101477" w:rsidRPr="00C55FB2">
        <w:rPr>
          <w:rFonts w:ascii="Century" w:eastAsia="Times New Roman" w:hAnsi="Century" w:cs="Times New Roman"/>
          <w:lang w:eastAsia="es-ES" w:bidi="he-IL"/>
        </w:rPr>
        <w:t xml:space="preserve"> reconoce inicialmente </w:t>
      </w:r>
      <w:r w:rsidR="00141BA3" w:rsidRPr="00C55FB2">
        <w:rPr>
          <w:rFonts w:ascii="Century" w:eastAsia="Times New Roman" w:hAnsi="Century" w:cs="Times New Roman"/>
          <w:lang w:eastAsia="es-ES" w:bidi="he-IL"/>
        </w:rPr>
        <w:t>la cuenta</w:t>
      </w:r>
      <w:r w:rsidR="00101477" w:rsidRPr="00C55FB2">
        <w:rPr>
          <w:rFonts w:ascii="Century" w:eastAsia="Times New Roman" w:hAnsi="Century" w:cs="Times New Roman"/>
          <w:lang w:eastAsia="es-ES" w:bidi="he-IL"/>
        </w:rPr>
        <w:t xml:space="preserve"> y parti</w:t>
      </w:r>
      <w:r w:rsidR="00141BA3" w:rsidRPr="00C55FB2">
        <w:rPr>
          <w:rFonts w:ascii="Century" w:eastAsia="Times New Roman" w:hAnsi="Century" w:cs="Times New Roman"/>
          <w:lang w:eastAsia="es-ES" w:bidi="he-IL"/>
        </w:rPr>
        <w:t xml:space="preserve">das por cobrar y los otros </w:t>
      </w:r>
      <w:r w:rsidR="00101477" w:rsidRPr="00C55FB2">
        <w:rPr>
          <w:rFonts w:ascii="Century" w:eastAsia="Times New Roman" w:hAnsi="Century" w:cs="Times New Roman"/>
          <w:lang w:eastAsia="es-ES" w:bidi="he-IL"/>
        </w:rPr>
        <w:t xml:space="preserve"> activos y pasivos financieros</w:t>
      </w:r>
      <w:r w:rsidRPr="00C55FB2">
        <w:rPr>
          <w:rFonts w:ascii="Century" w:eastAsia="Times New Roman" w:hAnsi="Century" w:cs="Times New Roman"/>
          <w:lang w:eastAsia="es-ES" w:bidi="he-IL"/>
        </w:rPr>
        <w:t xml:space="preserve"> en la etapa del devengamiento de las mismas</w:t>
      </w:r>
      <w:r w:rsidR="00101477" w:rsidRPr="00C55FB2">
        <w:rPr>
          <w:rFonts w:ascii="Century" w:eastAsia="Times New Roman" w:hAnsi="Century" w:cs="Times New Roman"/>
          <w:lang w:eastAsia="es-ES" w:bidi="he-IL"/>
        </w:rPr>
        <w:t>, así como los momentos de las bajas</w:t>
      </w:r>
      <w:r w:rsidR="00101477" w:rsidRPr="00C55FB2">
        <w:rPr>
          <w:rFonts w:ascii="Century" w:eastAsia="Times New Roman" w:hAnsi="Century" w:cs="Times New Roman"/>
          <w:b/>
          <w:lang w:eastAsia="es-ES" w:bidi="he-IL"/>
        </w:rPr>
        <w:t>.</w:t>
      </w:r>
    </w:p>
    <w:p w:rsidR="00141BA3" w:rsidRPr="00C55FB2" w:rsidRDefault="00141BA3" w:rsidP="00101477">
      <w:pPr>
        <w:spacing w:after="0"/>
        <w:contextualSpacing/>
        <w:jc w:val="both"/>
        <w:textAlignment w:val="baseline"/>
        <w:rPr>
          <w:rFonts w:ascii="Century" w:eastAsia="Times New Roman" w:hAnsi="Century" w:cs="Times New Roman"/>
          <w:b/>
          <w:lang w:eastAsia="es-ES" w:bidi="he-IL"/>
        </w:rPr>
      </w:pPr>
    </w:p>
    <w:p w:rsidR="00141BA3" w:rsidRPr="00C55FB2" w:rsidRDefault="00141BA3" w:rsidP="00101477">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Activos financieros no derivados-  medición.</w:t>
      </w:r>
    </w:p>
    <w:p w:rsidR="00141BA3" w:rsidRPr="00C55FB2" w:rsidRDefault="00141BA3" w:rsidP="00101477">
      <w:pPr>
        <w:spacing w:after="0"/>
        <w:contextualSpacing/>
        <w:jc w:val="both"/>
        <w:textAlignment w:val="baseline"/>
        <w:rPr>
          <w:rFonts w:ascii="Century" w:eastAsia="Times New Roman" w:hAnsi="Century" w:cs="Times New Roman"/>
          <w:b/>
          <w:lang w:eastAsia="es-ES" w:bidi="he-IL"/>
        </w:rPr>
      </w:pPr>
    </w:p>
    <w:p w:rsidR="00141BA3" w:rsidRPr="00C55FB2" w:rsidRDefault="00BE28F6" w:rsidP="00101477">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 Dominicano de Café describe los activos financieros no derivados como instrumentos financieros, cuyo valor se basa en el precio de otro activo como renta fija, materia prima entre otros. Su cotización puede orga</w:t>
      </w:r>
      <w:r w:rsidR="00CE663F" w:rsidRPr="00C55FB2">
        <w:rPr>
          <w:rFonts w:ascii="Century" w:eastAsia="Times New Roman" w:hAnsi="Century" w:cs="Times New Roman"/>
          <w:lang w:eastAsia="es-ES" w:bidi="he-IL"/>
        </w:rPr>
        <w:t>nizarse en mercados organizados</w:t>
      </w:r>
      <w:r w:rsidRPr="00C55FB2">
        <w:rPr>
          <w:rFonts w:ascii="Century" w:eastAsia="Times New Roman" w:hAnsi="Century" w:cs="Times New Roman"/>
          <w:lang w:eastAsia="es-ES" w:bidi="he-IL"/>
        </w:rPr>
        <w:t>.</w:t>
      </w:r>
    </w:p>
    <w:p w:rsidR="00524324" w:rsidRPr="00C55FB2" w:rsidRDefault="00524324" w:rsidP="00101477">
      <w:pPr>
        <w:spacing w:after="0"/>
        <w:contextualSpacing/>
        <w:jc w:val="both"/>
        <w:textAlignment w:val="baseline"/>
        <w:rPr>
          <w:rFonts w:ascii="Century" w:eastAsia="Times New Roman" w:hAnsi="Century" w:cs="Times New Roman"/>
          <w:lang w:eastAsia="es-ES" w:bidi="he-IL"/>
        </w:rPr>
      </w:pPr>
    </w:p>
    <w:p w:rsidR="00524324" w:rsidRPr="00C55FB2" w:rsidRDefault="00524324" w:rsidP="00101477">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Pasivos financieros no derivable-medición</w:t>
      </w:r>
    </w:p>
    <w:p w:rsidR="00524324" w:rsidRPr="00C55FB2" w:rsidRDefault="00524324" w:rsidP="00101477">
      <w:pPr>
        <w:spacing w:after="0"/>
        <w:contextualSpacing/>
        <w:jc w:val="both"/>
        <w:textAlignment w:val="baseline"/>
        <w:rPr>
          <w:rFonts w:ascii="Century" w:eastAsia="Times New Roman" w:hAnsi="Century" w:cs="Times New Roman"/>
          <w:lang w:eastAsia="es-ES" w:bidi="he-IL"/>
        </w:rPr>
      </w:pPr>
    </w:p>
    <w:p w:rsidR="00524324" w:rsidRPr="00C55FB2" w:rsidRDefault="00BE28F6" w:rsidP="00524324">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 Café describe los </w:t>
      </w:r>
      <w:r w:rsidR="00EC7391" w:rsidRPr="00C55FB2">
        <w:rPr>
          <w:rFonts w:ascii="Century" w:eastAsia="Times New Roman" w:hAnsi="Century" w:cs="Times New Roman"/>
          <w:lang w:eastAsia="es-ES" w:bidi="he-IL"/>
        </w:rPr>
        <w:t xml:space="preserve">pasivos  financieros como </w:t>
      </w:r>
      <w:r w:rsidR="00EC7391" w:rsidRPr="00C55FB2">
        <w:rPr>
          <w:rFonts w:ascii="Arial" w:hAnsi="Arial" w:cs="Arial"/>
          <w:color w:val="222222"/>
          <w:sz w:val="20"/>
          <w:szCs w:val="20"/>
          <w:shd w:val="clear" w:color="auto" w:fill="FFFFFF"/>
        </w:rPr>
        <w:t xml:space="preserve"> l</w:t>
      </w:r>
      <w:r w:rsidR="00EC7391" w:rsidRPr="00C55FB2">
        <w:rPr>
          <w:rFonts w:ascii="Century" w:hAnsi="Century" w:cs="Arial"/>
          <w:color w:val="222222"/>
          <w:sz w:val="20"/>
          <w:szCs w:val="20"/>
          <w:shd w:val="clear" w:color="auto" w:fill="FFFFFF"/>
        </w:rPr>
        <w:t>os costes de transacción en los que se incurriría para intercambiar o liquidar el instrumento financiero</w:t>
      </w:r>
      <w:r w:rsidR="00EC7391" w:rsidRPr="00C55FB2">
        <w:rPr>
          <w:rFonts w:ascii="Century" w:eastAsia="Times New Roman" w:hAnsi="Century" w:cs="Times New Roman"/>
          <w:lang w:eastAsia="es-ES" w:bidi="he-IL"/>
        </w:rPr>
        <w:t>, estos se valoraran a su valor razonable</w:t>
      </w:r>
      <w:r w:rsidR="00656FF6" w:rsidRPr="00C55FB2">
        <w:rPr>
          <w:rFonts w:ascii="Century" w:eastAsia="Times New Roman" w:hAnsi="Century" w:cs="Times New Roman"/>
          <w:lang w:eastAsia="es-ES" w:bidi="he-IL"/>
        </w:rPr>
        <w:t>, los</w:t>
      </w:r>
      <w:r w:rsidR="00D64B3B" w:rsidRPr="00C55FB2">
        <w:rPr>
          <w:rFonts w:ascii="Century" w:eastAsia="Times New Roman" w:hAnsi="Century" w:cs="Times New Roman"/>
          <w:lang w:eastAsia="es-ES" w:bidi="he-IL"/>
        </w:rPr>
        <w:t xml:space="preserve"> costes</w:t>
      </w:r>
      <w:r w:rsidR="00EC7391" w:rsidRPr="00C55FB2">
        <w:rPr>
          <w:rFonts w:ascii="Century" w:eastAsia="Times New Roman" w:hAnsi="Century" w:cs="Times New Roman"/>
          <w:lang w:eastAsia="es-ES" w:bidi="he-IL"/>
        </w:rPr>
        <w:t xml:space="preserve"> de transacción en los que incurrirán para intercambiar </w:t>
      </w:r>
      <w:r w:rsidR="00D64B3B" w:rsidRPr="00C55FB2">
        <w:rPr>
          <w:rFonts w:ascii="Century" w:eastAsia="Times New Roman" w:hAnsi="Century" w:cs="Times New Roman"/>
          <w:lang w:eastAsia="es-ES" w:bidi="he-IL"/>
        </w:rPr>
        <w:t>los instrumentos financieros</w:t>
      </w:r>
      <w:r w:rsidR="00EC7391" w:rsidRPr="00C55FB2">
        <w:rPr>
          <w:rFonts w:ascii="Century" w:eastAsia="Times New Roman" w:hAnsi="Century" w:cs="Times New Roman"/>
          <w:lang w:eastAsia="es-ES" w:bidi="he-IL"/>
        </w:rPr>
        <w:t xml:space="preserve">. </w:t>
      </w:r>
    </w:p>
    <w:p w:rsidR="00EC7391" w:rsidRPr="00C55FB2" w:rsidRDefault="00EC7391" w:rsidP="00524324">
      <w:pPr>
        <w:spacing w:after="0"/>
        <w:contextualSpacing/>
        <w:jc w:val="both"/>
        <w:textAlignment w:val="baseline"/>
        <w:rPr>
          <w:rFonts w:ascii="Century" w:eastAsia="Times New Roman" w:hAnsi="Century" w:cs="Times New Roman"/>
          <w:lang w:eastAsia="es-ES" w:bidi="he-IL"/>
        </w:rPr>
      </w:pPr>
    </w:p>
    <w:p w:rsidR="00524324" w:rsidRPr="00C55FB2" w:rsidRDefault="00524324"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Inventario de materiales de oficina.</w:t>
      </w:r>
    </w:p>
    <w:p w:rsidR="00524324" w:rsidRPr="00C55FB2" w:rsidRDefault="00524324" w:rsidP="00524324">
      <w:pPr>
        <w:spacing w:after="0"/>
        <w:contextualSpacing/>
        <w:jc w:val="both"/>
        <w:textAlignment w:val="baseline"/>
        <w:rPr>
          <w:rFonts w:ascii="Century" w:eastAsia="Times New Roman" w:hAnsi="Century" w:cs="Times New Roman"/>
          <w:lang w:eastAsia="es-ES" w:bidi="he-IL"/>
        </w:rPr>
      </w:pPr>
    </w:p>
    <w:p w:rsidR="00D82F4F" w:rsidRPr="00C55FB2" w:rsidRDefault="00D82F4F" w:rsidP="00D82F4F">
      <w:pPr>
        <w:tabs>
          <w:tab w:val="left" w:pos="-720"/>
          <w:tab w:val="left" w:pos="0"/>
          <w:tab w:val="left" w:pos="276"/>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before="120" w:after="120"/>
        <w:jc w:val="both"/>
        <w:rPr>
          <w:rFonts w:ascii="Century" w:eastAsia="Times New Roman" w:hAnsi="Century" w:cs="Times New Roman"/>
          <w:bCs/>
          <w:lang w:eastAsia="es-ES" w:bidi="he-IL"/>
        </w:rPr>
      </w:pPr>
      <w:r w:rsidRPr="00C55FB2">
        <w:rPr>
          <w:rFonts w:ascii="Century" w:eastAsia="Times New Roman" w:hAnsi="Century" w:cs="Times New Roman"/>
          <w:bCs/>
          <w:lang w:eastAsia="es-ES" w:bidi="he-IL"/>
        </w:rPr>
        <w:t>Los bienes de cambio o de consumo se valúan al costo de adquisición o producción en que se incurre para obtener el bien.  El costo de adquisición está constituido por los montos de las erogaciones efectuadas para su compra o producción y todos los gastos incurridos para situarlo en el lugar de destino, ajustado a las condiciones de su uso.</w:t>
      </w:r>
    </w:p>
    <w:p w:rsidR="00524324" w:rsidRPr="00C55FB2" w:rsidRDefault="00524324" w:rsidP="00524324">
      <w:pPr>
        <w:spacing w:after="0"/>
        <w:contextualSpacing/>
        <w:jc w:val="both"/>
        <w:textAlignment w:val="baseline"/>
        <w:rPr>
          <w:rFonts w:ascii="Century" w:eastAsia="Times New Roman" w:hAnsi="Century" w:cs="Times New Roman"/>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BE511A" w:rsidRPr="00C55FB2" w:rsidRDefault="00BE511A" w:rsidP="00524324">
      <w:pPr>
        <w:spacing w:after="0"/>
        <w:contextualSpacing/>
        <w:jc w:val="both"/>
        <w:textAlignment w:val="baseline"/>
        <w:rPr>
          <w:rFonts w:ascii="Century" w:eastAsia="Times New Roman" w:hAnsi="Century" w:cs="Times New Roman"/>
          <w:b/>
          <w:lang w:eastAsia="es-ES" w:bidi="he-IL"/>
        </w:rPr>
      </w:pPr>
    </w:p>
    <w:p w:rsidR="00BE511A" w:rsidRPr="00C55FB2" w:rsidRDefault="00BE511A" w:rsidP="00524324">
      <w:pPr>
        <w:spacing w:after="0"/>
        <w:contextualSpacing/>
        <w:jc w:val="both"/>
        <w:textAlignment w:val="baseline"/>
        <w:rPr>
          <w:rFonts w:ascii="Century" w:eastAsia="Times New Roman" w:hAnsi="Century" w:cs="Times New Roman"/>
          <w:b/>
          <w:lang w:eastAsia="es-ES" w:bidi="he-IL"/>
        </w:rPr>
      </w:pPr>
    </w:p>
    <w:p w:rsidR="00BE511A" w:rsidRPr="00C55FB2" w:rsidRDefault="00BE511A" w:rsidP="00524324">
      <w:pPr>
        <w:spacing w:after="0"/>
        <w:contextualSpacing/>
        <w:jc w:val="both"/>
        <w:textAlignment w:val="baseline"/>
        <w:rPr>
          <w:rFonts w:ascii="Century" w:eastAsia="Times New Roman" w:hAnsi="Century" w:cs="Times New Roman"/>
          <w:b/>
          <w:lang w:eastAsia="es-ES" w:bidi="he-IL"/>
        </w:rPr>
      </w:pPr>
    </w:p>
    <w:p w:rsidR="00BE511A" w:rsidRPr="00C55FB2" w:rsidRDefault="00BE511A" w:rsidP="00524324">
      <w:pPr>
        <w:spacing w:after="0"/>
        <w:contextualSpacing/>
        <w:jc w:val="both"/>
        <w:textAlignment w:val="baseline"/>
        <w:rPr>
          <w:rFonts w:ascii="Century" w:eastAsia="Times New Roman" w:hAnsi="Century" w:cs="Times New Roman"/>
          <w:b/>
          <w:lang w:eastAsia="es-ES" w:bidi="he-IL"/>
        </w:rPr>
      </w:pPr>
    </w:p>
    <w:p w:rsidR="00BE511A" w:rsidRPr="00C55FB2" w:rsidRDefault="00BE511A" w:rsidP="00524324">
      <w:pPr>
        <w:spacing w:after="0"/>
        <w:contextualSpacing/>
        <w:jc w:val="both"/>
        <w:textAlignment w:val="baseline"/>
        <w:rPr>
          <w:rFonts w:ascii="Century" w:eastAsia="Times New Roman" w:hAnsi="Century" w:cs="Times New Roman"/>
          <w:b/>
          <w:lang w:eastAsia="es-ES" w:bidi="he-IL"/>
        </w:rPr>
      </w:pPr>
    </w:p>
    <w:p w:rsidR="00524324" w:rsidRPr="00C55FB2" w:rsidRDefault="001B64C0"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Propiedad, mobiliario y equipos.</w:t>
      </w:r>
    </w:p>
    <w:p w:rsidR="001B64C0" w:rsidRPr="00C55FB2" w:rsidRDefault="001B64C0"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Reconocimiento y medición.</w:t>
      </w:r>
    </w:p>
    <w:p w:rsidR="00D82F4F" w:rsidRPr="00C55FB2" w:rsidRDefault="00D82F4F" w:rsidP="00524324">
      <w:pPr>
        <w:spacing w:after="0"/>
        <w:contextualSpacing/>
        <w:jc w:val="both"/>
        <w:textAlignment w:val="baseline"/>
        <w:rPr>
          <w:rFonts w:ascii="Century" w:eastAsia="Times New Roman" w:hAnsi="Century" w:cs="Times New Roman"/>
          <w:b/>
          <w:lang w:eastAsia="es-ES" w:bidi="he-IL"/>
        </w:rPr>
      </w:pPr>
    </w:p>
    <w:p w:rsidR="00D82F4F" w:rsidRPr="00C55FB2" w:rsidRDefault="00D82F4F" w:rsidP="00D82F4F">
      <w:pPr>
        <w:tabs>
          <w:tab w:val="left" w:pos="0"/>
          <w:tab w:val="left" w:pos="900"/>
        </w:tabs>
        <w:spacing w:before="120" w:after="120"/>
        <w:jc w:val="both"/>
        <w:rPr>
          <w:rFonts w:ascii="Century" w:eastAsia="Times New Roman" w:hAnsi="Century" w:cs="Times New Roman"/>
        </w:rPr>
      </w:pPr>
      <w:r w:rsidRPr="00C55FB2">
        <w:rPr>
          <w:rFonts w:ascii="Century" w:eastAsia="Times New Roman" w:hAnsi="Century" w:cs="Times New Roman"/>
        </w:rPr>
        <w:t>Los costos por intereses relacionados con el financiamiento de la adquisición o producción del bien, no forman parte del costo del mismo. Por otra parte, las bonificaciones (descuentos) por pronto pago son consideradas al determinar el costo de los mismos.</w:t>
      </w:r>
    </w:p>
    <w:p w:rsidR="00D82F4F" w:rsidRPr="00C55FB2" w:rsidRDefault="00D82F4F" w:rsidP="00524324">
      <w:pPr>
        <w:spacing w:after="0"/>
        <w:contextualSpacing/>
        <w:jc w:val="both"/>
        <w:textAlignment w:val="baseline"/>
        <w:rPr>
          <w:rFonts w:ascii="Century" w:eastAsia="Times New Roman" w:hAnsi="Century" w:cs="Times New Roman"/>
          <w:b/>
          <w:lang w:eastAsia="es-ES" w:bidi="he-IL"/>
        </w:rPr>
      </w:pPr>
    </w:p>
    <w:p w:rsidR="001B64C0" w:rsidRPr="00C55FB2" w:rsidRDefault="001B64C0" w:rsidP="00524324">
      <w:pPr>
        <w:spacing w:after="0"/>
        <w:contextualSpacing/>
        <w:jc w:val="both"/>
        <w:textAlignment w:val="baseline"/>
        <w:rPr>
          <w:rFonts w:ascii="Century" w:eastAsia="Times New Roman" w:hAnsi="Century" w:cs="Times New Roman"/>
          <w:b/>
          <w:lang w:eastAsia="es-ES" w:bidi="he-IL"/>
        </w:rPr>
      </w:pPr>
    </w:p>
    <w:p w:rsidR="00AC2B9F" w:rsidRPr="00C55FB2" w:rsidRDefault="00AC2B9F" w:rsidP="00AC2B9F">
      <w:pPr>
        <w:spacing w:after="0"/>
        <w:jc w:val="both"/>
        <w:rPr>
          <w:rFonts w:ascii="Century" w:eastAsia="Times New Roman" w:hAnsi="Century" w:cs="Times New Roman"/>
        </w:rPr>
      </w:pPr>
      <w:r w:rsidRPr="00C55FB2">
        <w:rPr>
          <w:rFonts w:ascii="Century" w:eastAsia="Times New Roman" w:hAnsi="Century" w:cs="Times New Roman"/>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1975CA" w:rsidRPr="00C55FB2" w:rsidRDefault="001975CA" w:rsidP="00AC2B9F">
      <w:pPr>
        <w:spacing w:after="0"/>
        <w:jc w:val="both"/>
        <w:rPr>
          <w:rFonts w:ascii="Century" w:eastAsia="Times New Roman" w:hAnsi="Century" w:cs="Times New Roman"/>
        </w:rPr>
      </w:pPr>
    </w:p>
    <w:p w:rsidR="00AC2B9F" w:rsidRPr="00C55FB2" w:rsidRDefault="00AC2B9F" w:rsidP="00AC2B9F">
      <w:pPr>
        <w:spacing w:after="0"/>
        <w:jc w:val="both"/>
        <w:rPr>
          <w:rFonts w:ascii="Century" w:eastAsia="Times New Roman" w:hAnsi="Century" w:cs="Times New Roman"/>
        </w:rPr>
      </w:pPr>
      <w:r w:rsidRPr="00C55FB2">
        <w:rPr>
          <w:rFonts w:ascii="Century" w:eastAsia="Times New Roman" w:hAnsi="Century" w:cs="Times New Roman"/>
        </w:rPr>
        <w:t>Los costos de construcción incluyen los costos directos e indirectos, incluyendo los costos de administración de la obra, incurridos y devengados durante el período efectivo de la construcción.</w:t>
      </w:r>
    </w:p>
    <w:p w:rsidR="00AC2B9F" w:rsidRPr="00C55FB2" w:rsidRDefault="00AC2B9F" w:rsidP="00AC2B9F">
      <w:pPr>
        <w:spacing w:after="0"/>
        <w:jc w:val="both"/>
        <w:rPr>
          <w:rFonts w:ascii="Century" w:eastAsia="Times New Roman" w:hAnsi="Century" w:cs="Times New Roman"/>
        </w:rPr>
      </w:pPr>
    </w:p>
    <w:p w:rsidR="00AC2B9F" w:rsidRPr="00C55FB2" w:rsidRDefault="00D82F4F" w:rsidP="00AC2B9F">
      <w:pPr>
        <w:spacing w:after="0"/>
        <w:jc w:val="both"/>
        <w:rPr>
          <w:rFonts w:ascii="Century" w:eastAsia="Times New Roman" w:hAnsi="Century" w:cs="Times New Roman"/>
        </w:rPr>
      </w:pPr>
      <w:r w:rsidRPr="00C55FB2">
        <w:rPr>
          <w:rFonts w:ascii="Century" w:eastAsia="Times New Roman" w:hAnsi="Century" w:cs="Times New Roman"/>
        </w:rPr>
        <w:t>Lo</w:t>
      </w:r>
      <w:r w:rsidR="00AC2B9F" w:rsidRPr="00C55FB2">
        <w:rPr>
          <w:rFonts w:ascii="Century" w:eastAsia="Times New Roman" w:hAnsi="Century" w:cs="Times New Roman"/>
        </w:rPr>
        <w:t>s bienes recibidos en donación son contabilizados a valor corriente, representado por el importe de efectivo y otras partidas equivalentes, que debería pagarse para adquirirlo en las condiciones en que se encuentren.</w:t>
      </w:r>
    </w:p>
    <w:p w:rsidR="00AC2B9F" w:rsidRPr="00C55FB2" w:rsidRDefault="00AC2B9F" w:rsidP="00AC2B9F">
      <w:pPr>
        <w:spacing w:after="0"/>
        <w:jc w:val="both"/>
        <w:rPr>
          <w:rFonts w:ascii="Century" w:eastAsia="Times New Roman" w:hAnsi="Century" w:cs="Times New Roman"/>
        </w:rPr>
      </w:pPr>
    </w:p>
    <w:p w:rsidR="00AC2B9F" w:rsidRPr="00C55FB2" w:rsidRDefault="00AC2B9F" w:rsidP="00AC2B9F">
      <w:pPr>
        <w:spacing w:after="0"/>
        <w:jc w:val="both"/>
        <w:rPr>
          <w:rFonts w:ascii="Century" w:eastAsia="Times New Roman" w:hAnsi="Century" w:cs="Times New Roman"/>
        </w:rPr>
      </w:pPr>
      <w:r w:rsidRPr="00C55FB2">
        <w:rPr>
          <w:rFonts w:ascii="Century" w:eastAsia="Times New Roman" w:hAnsi="Century" w:cs="Times New Roman"/>
        </w:rPr>
        <w:t>Los bienes adquiridos en monedas extranjeras se registran al tipo de cambio vigente a la fecha de la adquisición.</w:t>
      </w:r>
    </w:p>
    <w:p w:rsidR="00AC2B9F" w:rsidRPr="00C55FB2" w:rsidRDefault="00AC2B9F" w:rsidP="00AC2B9F">
      <w:pPr>
        <w:spacing w:after="0"/>
        <w:jc w:val="both"/>
        <w:rPr>
          <w:rFonts w:ascii="Century" w:eastAsia="Times New Roman" w:hAnsi="Century" w:cs="Times New Roman"/>
        </w:rPr>
      </w:pPr>
    </w:p>
    <w:p w:rsidR="00AC2B9F" w:rsidRPr="00C55FB2" w:rsidRDefault="00AC2B9F" w:rsidP="00AC2B9F">
      <w:pPr>
        <w:spacing w:after="0"/>
        <w:jc w:val="both"/>
        <w:rPr>
          <w:rFonts w:ascii="Century" w:eastAsia="Times New Roman" w:hAnsi="Century" w:cs="Times New Roman"/>
        </w:rPr>
      </w:pPr>
      <w:r w:rsidRPr="00C55FB2">
        <w:rPr>
          <w:rFonts w:ascii="Century" w:eastAsia="Times New Roman" w:hAnsi="Century" w:cs="Times New Roman"/>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AC2B9F" w:rsidRPr="00C55FB2" w:rsidRDefault="00AC2B9F" w:rsidP="00AC2B9F">
      <w:pPr>
        <w:spacing w:after="0"/>
        <w:jc w:val="both"/>
        <w:rPr>
          <w:rFonts w:ascii="Century" w:eastAsia="Times New Roman" w:hAnsi="Century" w:cs="Times New Roman"/>
        </w:rPr>
      </w:pPr>
    </w:p>
    <w:p w:rsidR="00AC2B9F" w:rsidRPr="00C55FB2" w:rsidRDefault="00AC2B9F" w:rsidP="00AC2B9F">
      <w:pPr>
        <w:spacing w:after="0"/>
        <w:jc w:val="both"/>
        <w:rPr>
          <w:rFonts w:ascii="Century" w:eastAsia="Times New Roman" w:hAnsi="Century" w:cs="Times New Roman"/>
        </w:rPr>
      </w:pPr>
      <w:r w:rsidRPr="00C55FB2">
        <w:rPr>
          <w:rFonts w:ascii="Century" w:eastAsia="Times New Roman" w:hAnsi="Century" w:cs="Times New Roman"/>
        </w:rPr>
        <w:t xml:space="preserve">Los bienes inmuebles son contabilizados de acuerdo a la última valuación fiscal conocida, y de no resultar factible su obtención, se recurrirá a su tasación. </w:t>
      </w:r>
    </w:p>
    <w:p w:rsidR="00D82F4F" w:rsidRPr="00C55FB2" w:rsidRDefault="00D82F4F" w:rsidP="00AC2B9F">
      <w:pPr>
        <w:spacing w:after="0"/>
        <w:jc w:val="both"/>
        <w:rPr>
          <w:rFonts w:ascii="Century" w:eastAsia="Times New Roman" w:hAnsi="Century" w:cs="Times New Roman"/>
        </w:rPr>
      </w:pPr>
    </w:p>
    <w:p w:rsidR="00AC2B9F" w:rsidRPr="00C55FB2" w:rsidRDefault="00AC2B9F" w:rsidP="00AC2B9F">
      <w:pPr>
        <w:spacing w:after="0"/>
        <w:jc w:val="both"/>
        <w:rPr>
          <w:rFonts w:ascii="Century" w:eastAsia="Times New Roman" w:hAnsi="Century" w:cs="Times New Roman"/>
        </w:rPr>
      </w:pPr>
    </w:p>
    <w:p w:rsidR="001B64C0" w:rsidRPr="00C55FB2" w:rsidRDefault="001B64C0" w:rsidP="00524324">
      <w:pPr>
        <w:spacing w:after="0"/>
        <w:contextualSpacing/>
        <w:jc w:val="both"/>
        <w:textAlignment w:val="baseline"/>
        <w:rPr>
          <w:rFonts w:ascii="Century" w:eastAsia="Times New Roman" w:hAnsi="Century" w:cs="Times New Roman"/>
          <w:lang w:eastAsia="es-ES" w:bidi="he-IL"/>
        </w:rPr>
      </w:pPr>
    </w:p>
    <w:p w:rsidR="001B64C0" w:rsidRPr="00C55FB2" w:rsidRDefault="005D622D"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C</w:t>
      </w:r>
      <w:r w:rsidR="001B64C0" w:rsidRPr="00C55FB2">
        <w:rPr>
          <w:rFonts w:ascii="Century" w:eastAsia="Times New Roman" w:hAnsi="Century" w:cs="Times New Roman"/>
          <w:b/>
          <w:lang w:eastAsia="es-ES" w:bidi="he-IL"/>
        </w:rPr>
        <w:t>ostos Posteriores</w:t>
      </w:r>
    </w:p>
    <w:p w:rsidR="001B64C0" w:rsidRPr="00C55FB2" w:rsidRDefault="00643DBF" w:rsidP="00524324">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 Dominicano del café presenta los costos posteriores como aquellos bienes depreciables o amortizados incluidos entre los pasivos no corrientes.</w:t>
      </w:r>
    </w:p>
    <w:p w:rsidR="001B64C0" w:rsidRPr="00C55FB2" w:rsidRDefault="001B64C0" w:rsidP="00524324">
      <w:pPr>
        <w:spacing w:after="0"/>
        <w:contextualSpacing/>
        <w:jc w:val="both"/>
        <w:textAlignment w:val="baseline"/>
        <w:rPr>
          <w:rFonts w:ascii="Century" w:eastAsia="Times New Roman" w:hAnsi="Century" w:cs="Times New Roman"/>
          <w:lang w:eastAsia="es-ES" w:bidi="he-IL"/>
        </w:rPr>
      </w:pPr>
    </w:p>
    <w:p w:rsidR="00AC2B9F" w:rsidRPr="00C55FB2" w:rsidRDefault="00AC2B9F"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1B64C0" w:rsidRPr="00C55FB2" w:rsidRDefault="001B64C0"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Depreciación</w:t>
      </w:r>
    </w:p>
    <w:p w:rsidR="00B94489" w:rsidRPr="00C55FB2" w:rsidRDefault="00AC2B9F" w:rsidP="00AC2B9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 xml:space="preserve">El método de cálculo para el registro de la </w:t>
      </w:r>
      <w:r w:rsidRPr="00C55FB2">
        <w:rPr>
          <w:rFonts w:ascii="Century" w:eastAsia="Times New Roman" w:hAnsi="Century" w:cs="Times New Roman"/>
          <w:b/>
        </w:rPr>
        <w:t>Depreciación</w:t>
      </w:r>
      <w:r w:rsidRPr="00C55FB2">
        <w:rPr>
          <w:rFonts w:ascii="Century" w:eastAsia="Times New Roman" w:hAnsi="Century" w:cs="Times New Roman"/>
        </w:rPr>
        <w:t xml:space="preserve"> es el de </w:t>
      </w:r>
      <w:r w:rsidRPr="00C55FB2">
        <w:rPr>
          <w:rFonts w:ascii="Century" w:eastAsia="Times New Roman" w:hAnsi="Century" w:cs="Times New Roman"/>
          <w:b/>
        </w:rPr>
        <w:t>Línea Recta</w:t>
      </w:r>
      <w:r w:rsidR="00582C86" w:rsidRPr="00C55FB2">
        <w:rPr>
          <w:rFonts w:ascii="Century" w:eastAsia="Times New Roman" w:hAnsi="Century" w:cs="Times New Roman"/>
        </w:rPr>
        <w:t xml:space="preserve">, adoptado Instituto Dominicano del Café </w:t>
      </w:r>
      <w:r w:rsidRPr="00C55FB2">
        <w:rPr>
          <w:rFonts w:ascii="Century" w:eastAsia="Times New Roman" w:hAnsi="Century" w:cs="Times New Roman"/>
        </w:rPr>
        <w:t>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p>
    <w:p w:rsidR="00EC7391" w:rsidRPr="00C55FB2" w:rsidRDefault="00EC7391" w:rsidP="00524324">
      <w:pPr>
        <w:spacing w:after="0"/>
        <w:contextualSpacing/>
        <w:jc w:val="both"/>
        <w:textAlignment w:val="baseline"/>
        <w:rPr>
          <w:rFonts w:ascii="Century" w:eastAsia="Times New Roman" w:hAnsi="Century" w:cs="Times New Roman"/>
          <w:b/>
          <w:lang w:eastAsia="es-ES" w:bidi="he-IL"/>
        </w:rPr>
      </w:pPr>
    </w:p>
    <w:p w:rsidR="00B94489" w:rsidRPr="00C55FB2" w:rsidRDefault="00B94489"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 xml:space="preserve">Revaluación y devaluaciones </w:t>
      </w: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Normalmente, el valor razonable de los terrenos y edificios será su valor de mercado. Este valor se determinará por medio de una tasación. La Tasación del valor de un activo la realiza generalmente un tasador, que tiene una cualificación profesional reconocida y significativa. Para muchos activos, su valor razonable será fácilmente determinable por referencia a precios establecidos en un mercado líquido y activo. Por ejemplo, pueden obtenerse precios de mercado actuales de tierras, edificios no especializados, vehículos y muchos tipos de Propiedad, planta y equipo.</w:t>
      </w:r>
    </w:p>
    <w:p w:rsidR="00DD46CF" w:rsidRPr="00C55FB2" w:rsidRDefault="00DD46CF" w:rsidP="00DD46CF">
      <w:pPr>
        <w:spacing w:after="0"/>
        <w:contextualSpacing/>
        <w:jc w:val="both"/>
        <w:textAlignment w:val="baseline"/>
        <w:rPr>
          <w:rFonts w:ascii="Century" w:eastAsia="Times New Roman" w:hAnsi="Century" w:cs="Times New Roman"/>
        </w:rPr>
      </w:pP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La frecuencia de las revaluaciones depende de los que experimentan los valores razonables de los elementos de la Propiedad, planta y Equipo, que se están revaluando. Cuando el valor razonable del activo revaluado difiera significativamente de su importe en libros, será necesaria una nueva revaluación. Tales revaluaciones frecuentes son innecesarias para elementos de la Propiedad, planta y equipo con variaciones insignificantes en el valor razonable. Para éstos, pueden ser suficientes revaluaciones hechas cada tres o cinco años.</w:t>
      </w: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 xml:space="preserve">Los incrementos y disposiciones en la revaluación relativos a activos individuales dentro de una clase de Propiedad, planta y equipo deben compensarse con los correspondientes a activos de diferentes clases. </w:t>
      </w: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 xml:space="preserve">La cuantía del ajuste en la amortización acumulada, que surge de las </w:t>
      </w:r>
      <w:proofErr w:type="spellStart"/>
      <w:r w:rsidRPr="00C55FB2">
        <w:rPr>
          <w:rFonts w:ascii="Century" w:eastAsia="Times New Roman" w:hAnsi="Century" w:cs="Times New Roman"/>
        </w:rPr>
        <w:t>reexpresiones</w:t>
      </w:r>
      <w:proofErr w:type="spellEnd"/>
      <w:r w:rsidRPr="00C55FB2">
        <w:rPr>
          <w:rFonts w:ascii="Century" w:eastAsia="Times New Roman" w:hAnsi="Century" w:cs="Times New Roman"/>
        </w:rPr>
        <w:t xml:space="preserve"> o compensaciones anteriores, forma parte del incremento o disminución en el valor del activo en libros.</w:t>
      </w:r>
    </w:p>
    <w:p w:rsidR="00DD46CF" w:rsidRPr="00C55FB2" w:rsidRDefault="00DD46CF" w:rsidP="00DD46CF">
      <w:pPr>
        <w:spacing w:after="0"/>
        <w:contextualSpacing/>
        <w:jc w:val="both"/>
        <w:textAlignment w:val="baseline"/>
        <w:rPr>
          <w:rFonts w:ascii="Century" w:eastAsia="Times New Roman" w:hAnsi="Century" w:cs="Times New Roman"/>
        </w:rPr>
      </w:pP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Si se revalúa un determinado elemento perteneciente a la propiedad, planta y equipo, deben también ser revaluados de los activos.</w:t>
      </w: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Una clase de elementos pertenecientes a Propiedad, planta y equipo es un conjunto de activos de similar naturaleza y uso de las actividades de una entidad.</w:t>
      </w:r>
    </w:p>
    <w:p w:rsidR="00DD46CF" w:rsidRPr="00C55FB2" w:rsidRDefault="00DD46CF" w:rsidP="00DD46CF">
      <w:pPr>
        <w:spacing w:after="0"/>
        <w:contextualSpacing/>
        <w:jc w:val="both"/>
        <w:textAlignment w:val="baseline"/>
        <w:rPr>
          <w:rFonts w:ascii="Century" w:eastAsia="Times New Roman" w:hAnsi="Century" w:cs="Times New Roman"/>
        </w:rPr>
      </w:pPr>
      <w:r w:rsidRPr="00C55FB2">
        <w:rPr>
          <w:rFonts w:ascii="Century" w:eastAsia="Times New Roman" w:hAnsi="Century" w:cs="Times New Roman"/>
        </w:rPr>
        <w:t xml:space="preserve">Los elementos pertenecientes a una clase de las que componen la </w:t>
      </w:r>
      <w:proofErr w:type="spellStart"/>
      <w:r w:rsidRPr="00C55FB2">
        <w:rPr>
          <w:rFonts w:ascii="Century" w:eastAsia="Times New Roman" w:hAnsi="Century" w:cs="Times New Roman"/>
        </w:rPr>
        <w:t>Propiedad</w:t>
      </w:r>
      <w:proofErr w:type="gramStart"/>
      <w:r w:rsidRPr="00C55FB2">
        <w:rPr>
          <w:rFonts w:ascii="Century" w:eastAsia="Times New Roman" w:hAnsi="Century" w:cs="Times New Roman"/>
        </w:rPr>
        <w:t>,planta</w:t>
      </w:r>
      <w:proofErr w:type="spellEnd"/>
      <w:proofErr w:type="gramEnd"/>
      <w:r w:rsidRPr="00C55FB2">
        <w:rPr>
          <w:rFonts w:ascii="Century" w:eastAsia="Times New Roman" w:hAnsi="Century" w:cs="Times New Roman"/>
        </w:rPr>
        <w:t xml:space="preserve"> y equipo, se </w:t>
      </w:r>
      <w:proofErr w:type="spellStart"/>
      <w:r w:rsidRPr="00C55FB2">
        <w:rPr>
          <w:rFonts w:ascii="Century" w:eastAsia="Times New Roman" w:hAnsi="Century" w:cs="Times New Roman"/>
        </w:rPr>
        <w:t>revisán</w:t>
      </w:r>
      <w:proofErr w:type="spellEnd"/>
      <w:r w:rsidRPr="00C55FB2">
        <w:rPr>
          <w:rFonts w:ascii="Century" w:eastAsia="Times New Roman" w:hAnsi="Century" w:cs="Times New Roman"/>
        </w:rPr>
        <w:t xml:space="preserve"> simultáneamente con el fin de evitar revaluaciones selectivas, y consiguientemente, para evitar la inclusión de los estados financieros de importes rúbricas que serían una mezcla de costos y valores referidos a diferentes momentos del tiempo de manera que los valores se mantengan constantemente actualizados.</w:t>
      </w:r>
    </w:p>
    <w:p w:rsidR="00DD46CF" w:rsidRPr="00C55FB2" w:rsidRDefault="00DD46CF" w:rsidP="00DD46CF">
      <w:pPr>
        <w:spacing w:after="0"/>
        <w:contextualSpacing/>
        <w:jc w:val="both"/>
        <w:textAlignment w:val="baseline"/>
        <w:rPr>
          <w:rFonts w:ascii="Century" w:eastAsia="Times New Roman" w:hAnsi="Century" w:cs="Times New Roman"/>
        </w:rPr>
      </w:pPr>
    </w:p>
    <w:p w:rsidR="00DD46CF" w:rsidRPr="00C55FB2" w:rsidRDefault="00DD46CF" w:rsidP="00DD46CF">
      <w:pPr>
        <w:spacing w:after="0"/>
        <w:contextualSpacing/>
        <w:jc w:val="both"/>
        <w:textAlignment w:val="baseline"/>
        <w:rPr>
          <w:rFonts w:ascii="Century" w:eastAsia="Times New Roman" w:hAnsi="Century" w:cs="Times New Roman"/>
        </w:rPr>
      </w:pPr>
    </w:p>
    <w:p w:rsidR="00815B06" w:rsidRPr="00C55FB2" w:rsidRDefault="00815B06" w:rsidP="00524324">
      <w:pPr>
        <w:spacing w:after="0"/>
        <w:contextualSpacing/>
        <w:jc w:val="both"/>
        <w:textAlignment w:val="baseline"/>
        <w:rPr>
          <w:rFonts w:ascii="Century" w:eastAsia="Times New Roman" w:hAnsi="Century" w:cs="Times New Roman"/>
          <w:lang w:eastAsia="es-ES" w:bidi="he-IL"/>
        </w:rPr>
      </w:pPr>
    </w:p>
    <w:p w:rsidR="00B94489" w:rsidRPr="00C55FB2" w:rsidRDefault="00B94489"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Otros activos</w:t>
      </w:r>
    </w:p>
    <w:p w:rsidR="00B94489" w:rsidRPr="00C55FB2" w:rsidRDefault="00643DBF" w:rsidP="00524324">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del Café valoriza los otros activos al mayor valor resultante entre el mayor en libro y el mayor comercial </w:t>
      </w:r>
      <w:r w:rsidR="000C752E" w:rsidRPr="00C55FB2">
        <w:rPr>
          <w:rFonts w:ascii="Century" w:eastAsia="Times New Roman" w:hAnsi="Century" w:cs="Times New Roman"/>
          <w:lang w:eastAsia="es-ES" w:bidi="he-IL"/>
        </w:rPr>
        <w:t>por el coste de adquisición, construcción, adiciones, mejoras y cualquier otra.</w:t>
      </w:r>
    </w:p>
    <w:p w:rsidR="00B94489" w:rsidRPr="00C55FB2" w:rsidRDefault="00B94489" w:rsidP="00524324">
      <w:pPr>
        <w:spacing w:after="0"/>
        <w:contextualSpacing/>
        <w:jc w:val="both"/>
        <w:textAlignment w:val="baseline"/>
        <w:rPr>
          <w:rFonts w:ascii="Century" w:eastAsia="Times New Roman" w:hAnsi="Century" w:cs="Times New Roman"/>
          <w:lang w:eastAsia="es-ES" w:bidi="he-IL"/>
        </w:rPr>
      </w:pPr>
    </w:p>
    <w:p w:rsidR="00B94489" w:rsidRPr="00C55FB2" w:rsidRDefault="00B94489" w:rsidP="00524324">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Desembolsos posteriores</w:t>
      </w:r>
    </w:p>
    <w:p w:rsidR="00B94489" w:rsidRPr="00C55FB2" w:rsidRDefault="000C752E"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del Café contempla </w:t>
      </w:r>
      <w:r w:rsidR="0011134A" w:rsidRPr="00C55FB2">
        <w:rPr>
          <w:rFonts w:ascii="Century" w:eastAsia="Times New Roman" w:hAnsi="Century" w:cs="Times New Roman"/>
          <w:lang w:eastAsia="es-ES" w:bidi="he-IL"/>
        </w:rPr>
        <w:t>el costo posterior</w:t>
      </w:r>
      <w:r w:rsidRPr="00C55FB2">
        <w:rPr>
          <w:rFonts w:ascii="Century" w:eastAsia="Times New Roman" w:hAnsi="Century" w:cs="Times New Roman"/>
          <w:lang w:eastAsia="es-ES" w:bidi="he-IL"/>
        </w:rPr>
        <w:t xml:space="preserve"> como aquello costo que están en proceso o curso de desarrollo </w:t>
      </w:r>
      <w:r w:rsidR="00197DB5" w:rsidRPr="00C55FB2">
        <w:rPr>
          <w:rFonts w:ascii="Century" w:eastAsia="Times New Roman" w:hAnsi="Century" w:cs="Times New Roman"/>
          <w:lang w:eastAsia="es-ES" w:bidi="he-IL"/>
        </w:rPr>
        <w:t>adquirido de forma independiente en una combinación de activo intangibles y que se haya generado después del mismo.</w:t>
      </w:r>
    </w:p>
    <w:p w:rsidR="00B94489" w:rsidRPr="00C55FB2" w:rsidRDefault="00B94489" w:rsidP="00B94489">
      <w:pPr>
        <w:spacing w:after="0"/>
        <w:contextualSpacing/>
        <w:jc w:val="both"/>
        <w:textAlignment w:val="baseline"/>
        <w:rPr>
          <w:rFonts w:ascii="Century" w:eastAsia="Times New Roman" w:hAnsi="Century" w:cs="Times New Roman"/>
          <w:lang w:eastAsia="es-ES" w:bidi="he-IL"/>
        </w:rPr>
      </w:pPr>
    </w:p>
    <w:p w:rsidR="00B94489" w:rsidRPr="00C55FB2" w:rsidRDefault="00B94489"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Amortización</w:t>
      </w:r>
    </w:p>
    <w:p w:rsidR="00B94489" w:rsidRPr="00C55FB2" w:rsidRDefault="004E28D7"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 Dominicano del Café amortiza los seguros de los vehículos  registrando el ga</w:t>
      </w:r>
      <w:r w:rsidR="009A7C8B" w:rsidRPr="00C55FB2">
        <w:rPr>
          <w:rFonts w:ascii="Century" w:eastAsia="Times New Roman" w:hAnsi="Century" w:cs="Times New Roman"/>
          <w:lang w:eastAsia="es-ES" w:bidi="he-IL"/>
        </w:rPr>
        <w:t xml:space="preserve">sto al periodo que </w:t>
      </w:r>
      <w:r w:rsidR="00F555E5" w:rsidRPr="00C55FB2">
        <w:rPr>
          <w:rFonts w:ascii="Century" w:eastAsia="Times New Roman" w:hAnsi="Century" w:cs="Times New Roman"/>
          <w:lang w:eastAsia="es-ES" w:bidi="he-IL"/>
        </w:rPr>
        <w:t>corresponde,</w:t>
      </w:r>
      <w:r w:rsidR="009A7C8B" w:rsidRPr="00C55FB2">
        <w:rPr>
          <w:rFonts w:ascii="Century" w:eastAsia="Times New Roman" w:hAnsi="Century" w:cs="Times New Roman"/>
          <w:lang w:eastAsia="es-ES" w:bidi="he-IL"/>
        </w:rPr>
        <w:t xml:space="preserve"> así como también los gastos pagados por anticipados.</w:t>
      </w:r>
    </w:p>
    <w:p w:rsidR="00B94489" w:rsidRPr="00C55FB2" w:rsidRDefault="00B94489" w:rsidP="00B94489">
      <w:pPr>
        <w:spacing w:after="0"/>
        <w:contextualSpacing/>
        <w:jc w:val="both"/>
        <w:textAlignment w:val="baseline"/>
        <w:rPr>
          <w:rFonts w:ascii="Century" w:eastAsia="Times New Roman" w:hAnsi="Century" w:cs="Times New Roman"/>
          <w:lang w:eastAsia="es-ES" w:bidi="he-IL"/>
        </w:rPr>
      </w:pPr>
    </w:p>
    <w:p w:rsidR="00B94489" w:rsidRPr="00C55FB2" w:rsidRDefault="00B94489"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 xml:space="preserve">Deterioro del valor </w:t>
      </w:r>
    </w:p>
    <w:p w:rsidR="00B94489" w:rsidRPr="00C55FB2" w:rsidRDefault="00B94489"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 financieros no derivados</w:t>
      </w:r>
    </w:p>
    <w:p w:rsidR="00B94489" w:rsidRPr="00C55FB2" w:rsidRDefault="001437CD"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w:t>
      </w:r>
      <w:r w:rsidR="0092414D" w:rsidRPr="00C55FB2">
        <w:rPr>
          <w:rFonts w:ascii="Century" w:eastAsia="Times New Roman" w:hAnsi="Century" w:cs="Times New Roman"/>
          <w:lang w:eastAsia="es-ES" w:bidi="he-IL"/>
        </w:rPr>
        <w:t xml:space="preserve"> Dominicano del Café reconoce el deterioro de los activos fijos por amortización acumulada y perdida por deterioro. Consiste en la cantidad en que se excede el importe en libro de un activo o una unidad generadora a su importe recuperable.</w:t>
      </w:r>
    </w:p>
    <w:p w:rsidR="00B94489" w:rsidRPr="00C55FB2" w:rsidRDefault="00B94489"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 financieros medidos a costo amortizado</w:t>
      </w:r>
    </w:p>
    <w:p w:rsidR="00E95038" w:rsidRPr="00C55FB2" w:rsidRDefault="00E95038"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del Café reconoce un activo financiero por su valor razonable </w:t>
      </w:r>
      <w:r w:rsidR="00424BC0" w:rsidRPr="00C55FB2">
        <w:rPr>
          <w:rFonts w:ascii="Century" w:eastAsia="Times New Roman" w:hAnsi="Century" w:cs="Times New Roman"/>
          <w:lang w:eastAsia="es-ES" w:bidi="he-IL"/>
        </w:rPr>
        <w:t>más</w:t>
      </w:r>
      <w:r w:rsidRPr="00C55FB2">
        <w:rPr>
          <w:rFonts w:ascii="Century" w:eastAsia="Times New Roman" w:hAnsi="Century" w:cs="Times New Roman"/>
          <w:lang w:eastAsia="es-ES" w:bidi="he-IL"/>
        </w:rPr>
        <w:t xml:space="preserve"> los costos de transacción que sean directamente atribuibles a las compras o emisión del mismo. Por tanto estos Activos se </w:t>
      </w:r>
      <w:r w:rsidR="000E6D44" w:rsidRPr="00C55FB2">
        <w:rPr>
          <w:rFonts w:ascii="Century" w:eastAsia="Times New Roman" w:hAnsi="Century" w:cs="Times New Roman"/>
          <w:lang w:eastAsia="es-ES" w:bidi="he-IL"/>
        </w:rPr>
        <w:t>componen</w:t>
      </w:r>
      <w:r w:rsidRPr="00C55FB2">
        <w:rPr>
          <w:rFonts w:ascii="Century" w:eastAsia="Times New Roman" w:hAnsi="Century" w:cs="Times New Roman"/>
          <w:lang w:eastAsia="es-ES" w:bidi="he-IL"/>
        </w:rPr>
        <w:t xml:space="preserve"> de </w:t>
      </w:r>
      <w:r w:rsidR="000E6D44" w:rsidRPr="00C55FB2">
        <w:rPr>
          <w:rFonts w:ascii="Century" w:eastAsia="Times New Roman" w:hAnsi="Century" w:cs="Times New Roman"/>
          <w:lang w:eastAsia="es-ES" w:bidi="he-IL"/>
        </w:rPr>
        <w:t>las</w:t>
      </w:r>
      <w:r w:rsidRPr="00C55FB2">
        <w:rPr>
          <w:rFonts w:ascii="Century" w:eastAsia="Times New Roman" w:hAnsi="Century" w:cs="Times New Roman"/>
          <w:lang w:eastAsia="es-ES" w:bidi="he-IL"/>
        </w:rPr>
        <w:t xml:space="preserve"> siguientes cuentas:</w:t>
      </w:r>
    </w:p>
    <w:p w:rsidR="00E95038" w:rsidRPr="00C55FB2" w:rsidRDefault="00E95038"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Activos financieros con valor razonable</w:t>
      </w:r>
    </w:p>
    <w:p w:rsidR="00E95038" w:rsidRPr="00C55FB2" w:rsidRDefault="00E95038"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 xml:space="preserve">Inversiones mantenidas hasta el vencimiento y cuenta por </w:t>
      </w:r>
      <w:r w:rsidR="00424BC0" w:rsidRPr="00C55FB2">
        <w:rPr>
          <w:rFonts w:ascii="Century" w:eastAsia="Times New Roman" w:hAnsi="Century" w:cs="Times New Roman"/>
          <w:b/>
          <w:lang w:eastAsia="es-ES" w:bidi="he-IL"/>
        </w:rPr>
        <w:t>cobrar.</w:t>
      </w:r>
    </w:p>
    <w:p w:rsidR="00E95038" w:rsidRPr="00C55FB2" w:rsidRDefault="00E95038" w:rsidP="00B94489">
      <w:pPr>
        <w:spacing w:after="0"/>
        <w:contextualSpacing/>
        <w:jc w:val="both"/>
        <w:textAlignment w:val="baseline"/>
        <w:rPr>
          <w:rFonts w:ascii="Century" w:eastAsia="Times New Roman" w:hAnsi="Century" w:cs="Times New Roman"/>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Activos no financieros</w:t>
      </w:r>
    </w:p>
    <w:p w:rsidR="003979FF" w:rsidRPr="00C55FB2" w:rsidRDefault="003979FF" w:rsidP="003979FF">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 Dominicano del Café reconoce el deterioro de los activos no financieros  por amortización acumulada y perdida por deterioro. Consiste en la cantidad en que se excede el importe en libro de un activo o una unidad generadora a su importe recuperable.</w:t>
      </w:r>
    </w:p>
    <w:p w:rsidR="009143B5" w:rsidRPr="00C55FB2" w:rsidRDefault="009143B5" w:rsidP="00B94489">
      <w:pPr>
        <w:spacing w:after="0"/>
        <w:contextualSpacing/>
        <w:jc w:val="both"/>
        <w:textAlignment w:val="baseline"/>
        <w:rPr>
          <w:rFonts w:ascii="Century" w:eastAsia="Times New Roman" w:hAnsi="Century" w:cs="Times New Roman"/>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Provisiones</w:t>
      </w:r>
      <w:r w:rsidR="00B27EC8" w:rsidRPr="00C55FB2">
        <w:rPr>
          <w:rFonts w:ascii="Century" w:eastAsia="Times New Roman" w:hAnsi="Century" w:cs="Times New Roman"/>
          <w:b/>
          <w:lang w:eastAsia="es-ES" w:bidi="he-IL"/>
        </w:rPr>
        <w:t xml:space="preserve">          </w:t>
      </w:r>
    </w:p>
    <w:p w:rsidR="009143B5" w:rsidRPr="00C55FB2" w:rsidRDefault="002B5E7E"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del Café reconoce como un pasivo debido a que constituye obligaciones presentes y es probable que sean liquidadas con recursos que incorpore beneficios económicos pudiéndose hacer una estimación fiable importante de la obligación </w:t>
      </w:r>
    </w:p>
    <w:p w:rsidR="009143B5" w:rsidRPr="00C55FB2" w:rsidRDefault="009143B5" w:rsidP="00B94489">
      <w:pPr>
        <w:spacing w:after="0"/>
        <w:contextualSpacing/>
        <w:jc w:val="both"/>
        <w:textAlignment w:val="baseline"/>
        <w:rPr>
          <w:rFonts w:ascii="Century" w:eastAsia="Times New Roman" w:hAnsi="Century" w:cs="Times New Roman"/>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Arrendamiento operativo</w:t>
      </w:r>
    </w:p>
    <w:p w:rsidR="009143B5" w:rsidRPr="00C55FB2" w:rsidRDefault="002B5E7E" w:rsidP="00B94489">
      <w:pPr>
        <w:spacing w:after="0"/>
        <w:contextualSpacing/>
        <w:jc w:val="both"/>
        <w:textAlignment w:val="baseline"/>
        <w:rPr>
          <w:rFonts w:ascii="Century" w:hAnsi="Century"/>
        </w:rPr>
      </w:pPr>
      <w:r w:rsidRPr="00C55FB2">
        <w:rPr>
          <w:rFonts w:ascii="Century" w:eastAsia="Times New Roman" w:hAnsi="Century" w:cs="Times New Roman"/>
          <w:lang w:eastAsia="es-ES" w:bidi="he-IL"/>
        </w:rPr>
        <w:t xml:space="preserve">El Instituto Dominicano del Café reconoce como arrendamiento operativo </w:t>
      </w:r>
      <w:r w:rsidRPr="00C55FB2">
        <w:rPr>
          <w:rFonts w:ascii="Century" w:hAnsi="Century"/>
        </w:rPr>
        <w:t xml:space="preserve"> las cuotas derivadas de los arrendamientos operativos deben ser reconocidas como gastos en el estado de rendimiento financiero de forma lineal, durante el transcurso del plazo del arrendamiento, salvo que resulte más </w:t>
      </w:r>
      <w:r w:rsidRPr="00C55FB2">
        <w:rPr>
          <w:rFonts w:ascii="Century" w:hAnsi="Century"/>
        </w:rPr>
        <w:lastRenderedPageBreak/>
        <w:t>representativa otra base sistemática de reparto, por reflejar más adecuadamente el patrón temporal de los beneficios del arrendamiento para el usuario.</w:t>
      </w:r>
    </w:p>
    <w:p w:rsidR="002B5E7E" w:rsidRPr="00C55FB2" w:rsidRDefault="002B5E7E" w:rsidP="00B94489">
      <w:pPr>
        <w:spacing w:after="0"/>
        <w:contextualSpacing/>
        <w:jc w:val="both"/>
        <w:textAlignment w:val="baseline"/>
        <w:rPr>
          <w:rFonts w:ascii="Century" w:eastAsia="Times New Roman" w:hAnsi="Century" w:cs="Times New Roman"/>
          <w:b/>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 xml:space="preserve">Beneficios a los empleados </w:t>
      </w:r>
    </w:p>
    <w:p w:rsidR="009143B5" w:rsidRPr="00C55FB2" w:rsidRDefault="00C5311D"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P</w:t>
      </w:r>
      <w:r w:rsidR="009143B5" w:rsidRPr="00C55FB2">
        <w:rPr>
          <w:rFonts w:ascii="Century" w:eastAsia="Times New Roman" w:hAnsi="Century" w:cs="Times New Roman"/>
          <w:b/>
          <w:lang w:eastAsia="es-ES" w:bidi="he-IL"/>
        </w:rPr>
        <w:t>lanes de aportaciones definidas</w:t>
      </w:r>
    </w:p>
    <w:p w:rsidR="009143B5" w:rsidRPr="00C55FB2" w:rsidRDefault="00C5311D"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Los empleados de Instituto Dominicano del Café </w:t>
      </w:r>
      <w:r w:rsidR="00D06D3B" w:rsidRPr="00C55FB2">
        <w:rPr>
          <w:rFonts w:ascii="Century" w:eastAsia="Times New Roman" w:hAnsi="Century" w:cs="Times New Roman"/>
          <w:lang w:eastAsia="es-ES" w:bidi="he-IL"/>
        </w:rPr>
        <w:t>tienen los beneficios del sistema de ñas seguridad social incluyendo el plan de pensiones, bono por desempeño anual el disfrute de las vacacione anuales, la regalía pascual, viáticos fuera y dentro del país en caso de que tenga que movilizarse a realizar sus funciones</w:t>
      </w:r>
      <w:r w:rsidR="00CA1EED" w:rsidRPr="00C55FB2">
        <w:rPr>
          <w:rFonts w:ascii="Century" w:eastAsia="Times New Roman" w:hAnsi="Century" w:cs="Times New Roman"/>
          <w:lang w:eastAsia="es-ES" w:bidi="he-IL"/>
        </w:rPr>
        <w:t xml:space="preserve"> lugar habitual de trabajo</w:t>
      </w:r>
      <w:r w:rsidR="00D06D3B" w:rsidRPr="00C55FB2">
        <w:rPr>
          <w:rFonts w:ascii="Century" w:eastAsia="Times New Roman" w:hAnsi="Century" w:cs="Times New Roman"/>
          <w:lang w:eastAsia="es-ES" w:bidi="he-IL"/>
        </w:rPr>
        <w:t>.</w:t>
      </w:r>
    </w:p>
    <w:p w:rsidR="003847A6" w:rsidRPr="00C55FB2" w:rsidRDefault="003847A6" w:rsidP="00B94489">
      <w:pPr>
        <w:spacing w:after="0"/>
        <w:contextualSpacing/>
        <w:jc w:val="both"/>
        <w:textAlignment w:val="baseline"/>
        <w:rPr>
          <w:rFonts w:ascii="Century" w:eastAsia="Times New Roman" w:hAnsi="Century" w:cs="Times New Roman"/>
          <w:lang w:eastAsia="es-ES" w:bidi="he-IL"/>
        </w:rPr>
      </w:pPr>
    </w:p>
    <w:p w:rsidR="003847A6" w:rsidRPr="00C55FB2" w:rsidRDefault="003847A6"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Agregar otros aspectos de beneficios a empleados, diferentes a los salarios.</w:t>
      </w:r>
    </w:p>
    <w:p w:rsidR="003847A6" w:rsidRPr="00C55FB2" w:rsidRDefault="003847A6"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Reconocimiento de ingresos</w:t>
      </w:r>
    </w:p>
    <w:p w:rsidR="00710552" w:rsidRPr="00C55FB2" w:rsidRDefault="00D06D3B"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 xml:space="preserve">El Instituto Dominicano del Café reconoce sus ingresos por el método de lo percibido </w:t>
      </w:r>
      <w:proofErr w:type="spellStart"/>
      <w:r w:rsidRPr="00C55FB2">
        <w:rPr>
          <w:rFonts w:ascii="Century" w:eastAsia="Times New Roman" w:hAnsi="Century" w:cs="Times New Roman"/>
          <w:lang w:eastAsia="es-ES" w:bidi="he-IL"/>
        </w:rPr>
        <w:t>osea</w:t>
      </w:r>
      <w:proofErr w:type="spellEnd"/>
      <w:r w:rsidRPr="00C55FB2">
        <w:rPr>
          <w:rFonts w:ascii="Century" w:eastAsia="Times New Roman" w:hAnsi="Century" w:cs="Times New Roman"/>
          <w:lang w:eastAsia="es-ES" w:bidi="he-IL"/>
        </w:rPr>
        <w:t xml:space="preserve"> en el momento que se ingresa a la </w:t>
      </w:r>
      <w:r w:rsidR="00CA1EED" w:rsidRPr="00C55FB2">
        <w:rPr>
          <w:rFonts w:ascii="Century" w:eastAsia="Times New Roman" w:hAnsi="Century" w:cs="Times New Roman"/>
          <w:lang w:eastAsia="es-ES" w:bidi="he-IL"/>
        </w:rPr>
        <w:t>institución.</w:t>
      </w:r>
    </w:p>
    <w:p w:rsidR="00D06D3B" w:rsidRPr="00C55FB2" w:rsidRDefault="00D06D3B" w:rsidP="00B94489">
      <w:pPr>
        <w:spacing w:after="0"/>
        <w:contextualSpacing/>
        <w:jc w:val="both"/>
        <w:textAlignment w:val="baseline"/>
        <w:rPr>
          <w:rFonts w:ascii="Century" w:eastAsia="Times New Roman" w:hAnsi="Century" w:cs="Times New Roman"/>
          <w:lang w:eastAsia="es-ES" w:bidi="he-IL"/>
        </w:rPr>
      </w:pPr>
    </w:p>
    <w:p w:rsidR="00710552" w:rsidRPr="00C55FB2" w:rsidRDefault="00710552" w:rsidP="00B94489">
      <w:pPr>
        <w:spacing w:after="0"/>
        <w:contextualSpacing/>
        <w:jc w:val="both"/>
        <w:textAlignment w:val="baseline"/>
        <w:rPr>
          <w:rFonts w:ascii="Century" w:eastAsia="Times New Roman" w:hAnsi="Century" w:cs="Times New Roman"/>
          <w:b/>
          <w:lang w:eastAsia="es-ES" w:bidi="he-IL"/>
        </w:rPr>
      </w:pPr>
      <w:r w:rsidRPr="00C55FB2">
        <w:rPr>
          <w:rFonts w:ascii="Century" w:eastAsia="Times New Roman" w:hAnsi="Century" w:cs="Times New Roman"/>
          <w:b/>
          <w:lang w:eastAsia="es-ES" w:bidi="he-IL"/>
        </w:rPr>
        <w:t>Impuesto sobre la renta</w:t>
      </w:r>
    </w:p>
    <w:p w:rsidR="00710552" w:rsidRPr="00C55FB2" w:rsidRDefault="00D06D3B" w:rsidP="00B94489">
      <w:pPr>
        <w:spacing w:after="0"/>
        <w:contextualSpacing/>
        <w:jc w:val="both"/>
        <w:textAlignment w:val="baseline"/>
        <w:rPr>
          <w:rFonts w:ascii="Century" w:eastAsia="Times New Roman" w:hAnsi="Century" w:cs="Times New Roman"/>
          <w:lang w:eastAsia="es-ES" w:bidi="he-IL"/>
        </w:rPr>
      </w:pPr>
      <w:r w:rsidRPr="00C55FB2">
        <w:rPr>
          <w:rFonts w:ascii="Century" w:eastAsia="Times New Roman" w:hAnsi="Century" w:cs="Times New Roman"/>
          <w:lang w:eastAsia="es-ES" w:bidi="he-IL"/>
        </w:rPr>
        <w:t>El Instituto Dominicano del Café reconoce por ser E</w:t>
      </w:r>
      <w:r w:rsidR="00710552" w:rsidRPr="00C55FB2">
        <w:rPr>
          <w:rFonts w:ascii="Century" w:eastAsia="Times New Roman" w:hAnsi="Century" w:cs="Times New Roman"/>
          <w:lang w:eastAsia="es-ES" w:bidi="he-IL"/>
        </w:rPr>
        <w:t>ntidad gubernamental sin fines de lucro están exenta de pagar impuesto sobre la rent</w:t>
      </w:r>
      <w:r w:rsidR="000220C1" w:rsidRPr="00C55FB2">
        <w:rPr>
          <w:rFonts w:ascii="Century" w:eastAsia="Times New Roman" w:hAnsi="Century" w:cs="Times New Roman"/>
          <w:lang w:eastAsia="es-ES" w:bidi="he-IL"/>
        </w:rPr>
        <w:t>a, pero si funciona como agente</w:t>
      </w:r>
      <w:r w:rsidR="00710552" w:rsidRPr="00C55FB2">
        <w:rPr>
          <w:rFonts w:ascii="Century" w:eastAsia="Times New Roman" w:hAnsi="Century" w:cs="Times New Roman"/>
          <w:lang w:eastAsia="es-ES" w:bidi="he-IL"/>
        </w:rPr>
        <w:t xml:space="preserve"> de retención.</w:t>
      </w:r>
    </w:p>
    <w:p w:rsidR="009143B5" w:rsidRPr="00C55FB2" w:rsidRDefault="009143B5" w:rsidP="00B94489">
      <w:pPr>
        <w:spacing w:after="0"/>
        <w:contextualSpacing/>
        <w:jc w:val="both"/>
        <w:textAlignment w:val="baseline"/>
        <w:rPr>
          <w:rFonts w:ascii="Century" w:eastAsia="Times New Roman" w:hAnsi="Century" w:cs="Times New Roman"/>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lang w:eastAsia="es-ES" w:bidi="he-IL"/>
        </w:rPr>
      </w:pPr>
    </w:p>
    <w:p w:rsidR="009143B5" w:rsidRPr="00C55FB2" w:rsidRDefault="009143B5" w:rsidP="00B94489">
      <w:pPr>
        <w:spacing w:after="0"/>
        <w:contextualSpacing/>
        <w:jc w:val="both"/>
        <w:textAlignment w:val="baseline"/>
        <w:rPr>
          <w:rFonts w:ascii="Century" w:eastAsia="Times New Roman" w:hAnsi="Century" w:cs="Times New Roman"/>
          <w:lang w:eastAsia="es-ES" w:bidi="he-IL"/>
        </w:rPr>
      </w:pPr>
    </w:p>
    <w:p w:rsidR="001B64C0" w:rsidRPr="00C55FB2" w:rsidRDefault="001B64C0" w:rsidP="00524324">
      <w:pPr>
        <w:spacing w:after="0"/>
        <w:contextualSpacing/>
        <w:jc w:val="both"/>
        <w:textAlignment w:val="baseline"/>
        <w:rPr>
          <w:rFonts w:ascii="Century" w:eastAsia="Times New Roman" w:hAnsi="Century" w:cs="Times New Roman"/>
          <w:lang w:eastAsia="es-ES" w:bidi="he-IL"/>
        </w:rPr>
      </w:pPr>
    </w:p>
    <w:p w:rsidR="00524324" w:rsidRPr="00C55FB2" w:rsidRDefault="00524324" w:rsidP="00101477">
      <w:pPr>
        <w:spacing w:after="0"/>
        <w:contextualSpacing/>
        <w:jc w:val="both"/>
        <w:textAlignment w:val="baseline"/>
        <w:rPr>
          <w:rFonts w:ascii="Century" w:eastAsia="Times New Roman" w:hAnsi="Century" w:cs="Times New Roman"/>
          <w:b/>
          <w:lang w:eastAsia="es-DO"/>
        </w:rPr>
      </w:pPr>
    </w:p>
    <w:p w:rsidR="00101477" w:rsidRPr="00C55FB2" w:rsidRDefault="00101477" w:rsidP="00722944">
      <w:pPr>
        <w:tabs>
          <w:tab w:val="left" w:pos="-1440"/>
          <w:tab w:val="left" w:pos="-720"/>
          <w:tab w:val="left" w:pos="900"/>
        </w:tabs>
        <w:suppressAutoHyphens/>
        <w:spacing w:after="0"/>
        <w:jc w:val="both"/>
        <w:rPr>
          <w:rFonts w:ascii="Century" w:eastAsia="Times New Roman" w:hAnsi="Century" w:cs="Times New Roman"/>
          <w:color w:val="000000"/>
        </w:rPr>
      </w:pPr>
    </w:p>
    <w:bookmarkEnd w:id="16"/>
    <w:bookmarkEnd w:id="17"/>
    <w:bookmarkEnd w:id="18"/>
    <w:p w:rsidR="00722944" w:rsidRPr="00C55FB2" w:rsidRDefault="00285B35" w:rsidP="00722944">
      <w:pPr>
        <w:spacing w:after="0"/>
        <w:jc w:val="both"/>
        <w:rPr>
          <w:rFonts w:ascii="Century" w:eastAsia="Times New Roman" w:hAnsi="Century" w:cs="Times New Roman"/>
          <w:b/>
          <w:bCs/>
        </w:rPr>
      </w:pPr>
      <w:r w:rsidRPr="00C55FB2">
        <w:rPr>
          <w:rFonts w:ascii="Century" w:eastAsia="Times New Roman" w:hAnsi="Century" w:cs="Times New Roman"/>
          <w:b/>
          <w:lang w:eastAsia="es-ES"/>
        </w:rPr>
        <w:t>ESTADO DE SITUACION FINANCIERA</w:t>
      </w:r>
      <w:r w:rsidR="00722944" w:rsidRPr="00C55FB2">
        <w:rPr>
          <w:rFonts w:ascii="Century" w:eastAsia="Times New Roman" w:hAnsi="Century" w:cs="Times New Roman"/>
          <w:b/>
          <w:lang w:eastAsia="es-ES"/>
        </w:rPr>
        <w:t xml:space="preserve"> </w:t>
      </w:r>
      <w:bookmarkStart w:id="19" w:name="_Toc155686868"/>
    </w:p>
    <w:p w:rsidR="00722944" w:rsidRPr="00C55FB2" w:rsidRDefault="00722944" w:rsidP="00722944">
      <w:pPr>
        <w:spacing w:after="0" w:line="240" w:lineRule="auto"/>
        <w:jc w:val="both"/>
        <w:rPr>
          <w:rFonts w:ascii="Century" w:eastAsia="Times New Roman" w:hAnsi="Century" w:cs="Times New Roman"/>
          <w:b/>
          <w:sz w:val="24"/>
          <w:szCs w:val="24"/>
          <w:lang w:eastAsia="es-ES"/>
        </w:rPr>
      </w:pPr>
    </w:p>
    <w:p w:rsidR="00722944" w:rsidRPr="00C55FB2"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20" w:name="_Toc208202812"/>
      <w:bookmarkStart w:id="21" w:name="_Toc207181390"/>
      <w:r w:rsidRPr="00C55FB2">
        <w:rPr>
          <w:rFonts w:ascii="Century" w:eastAsia="Times New Roman" w:hAnsi="Century" w:cs="Times New Roman"/>
          <w:b/>
          <w:bCs/>
          <w:lang w:eastAsia="es-ES"/>
        </w:rPr>
        <w:t>ACTIVOS</w:t>
      </w:r>
      <w:bookmarkStart w:id="22" w:name="_Toc155686869"/>
      <w:bookmarkEnd w:id="19"/>
      <w:bookmarkEnd w:id="20"/>
      <w:bookmarkEnd w:id="21"/>
    </w:p>
    <w:p w:rsidR="00722944" w:rsidRPr="00C55FB2" w:rsidRDefault="00427042" w:rsidP="00722944">
      <w:pPr>
        <w:keepNext/>
        <w:suppressAutoHyphens/>
        <w:spacing w:after="0" w:line="360" w:lineRule="auto"/>
        <w:jc w:val="both"/>
        <w:outlineLvl w:val="1"/>
        <w:rPr>
          <w:rFonts w:ascii="Century" w:eastAsia="Times New Roman" w:hAnsi="Century" w:cs="Times New Roman"/>
          <w:b/>
          <w:bCs/>
          <w:lang w:eastAsia="es-ES"/>
        </w:rPr>
      </w:pPr>
      <w:bookmarkStart w:id="23" w:name="_Toc208202813"/>
      <w:bookmarkStart w:id="24" w:name="_Toc207181391"/>
      <w:r w:rsidRPr="00C55FB2">
        <w:rPr>
          <w:rFonts w:ascii="Century" w:eastAsia="Times New Roman" w:hAnsi="Century" w:cs="Times New Roman"/>
          <w:b/>
          <w:bCs/>
          <w:lang w:eastAsia="es-ES"/>
        </w:rPr>
        <w:t>Nota VII</w:t>
      </w:r>
      <w:r w:rsidR="00722944" w:rsidRPr="00C55FB2">
        <w:rPr>
          <w:rFonts w:ascii="Century" w:eastAsia="Times New Roman" w:hAnsi="Century" w:cs="Times New Roman"/>
          <w:b/>
          <w:bCs/>
          <w:lang w:eastAsia="es-ES"/>
        </w:rPr>
        <w:t xml:space="preserve">: </w:t>
      </w:r>
      <w:bookmarkEnd w:id="22"/>
      <w:r w:rsidR="00722944" w:rsidRPr="00C55FB2">
        <w:rPr>
          <w:rFonts w:ascii="Century" w:eastAsia="Times New Roman" w:hAnsi="Century" w:cs="Times New Roman"/>
          <w:b/>
          <w:bCs/>
          <w:lang w:eastAsia="es-ES"/>
        </w:rPr>
        <w:t>Disponibilidades Bancarias</w:t>
      </w:r>
      <w:bookmarkEnd w:id="23"/>
      <w:bookmarkEnd w:id="24"/>
      <w:r w:rsidR="00722944" w:rsidRPr="00C55FB2">
        <w:rPr>
          <w:rFonts w:ascii="Century" w:eastAsia="Times New Roman" w:hAnsi="Century" w:cs="Times New Roman"/>
          <w:b/>
          <w:bCs/>
          <w:lang w:eastAsia="es-ES"/>
        </w:rPr>
        <w:t xml:space="preserve"> </w:t>
      </w:r>
    </w:p>
    <w:p w:rsidR="00722944" w:rsidRPr="00C55FB2" w:rsidRDefault="00722944" w:rsidP="00722944">
      <w:pPr>
        <w:spacing w:after="0" w:line="360" w:lineRule="auto"/>
        <w:jc w:val="both"/>
        <w:rPr>
          <w:rFonts w:ascii="Century" w:eastAsia="Times New Roman" w:hAnsi="Century" w:cs="Times New Roman"/>
          <w:b/>
          <w:sz w:val="10"/>
          <w:szCs w:val="10"/>
        </w:rPr>
      </w:pPr>
    </w:p>
    <w:p w:rsidR="00722944" w:rsidRPr="00C55FB2" w:rsidRDefault="00722944" w:rsidP="00722944">
      <w:pPr>
        <w:spacing w:after="0"/>
        <w:jc w:val="both"/>
        <w:rPr>
          <w:rFonts w:ascii="Century" w:eastAsia="Times New Roman" w:hAnsi="Century" w:cs="Times New Roman"/>
          <w:szCs w:val="23"/>
        </w:rPr>
      </w:pPr>
      <w:r w:rsidRPr="00C55FB2">
        <w:rPr>
          <w:rFonts w:ascii="Century" w:eastAsia="Times New Roman" w:hAnsi="Century" w:cs="Times New Roman"/>
        </w:rPr>
        <w:t xml:space="preserve">Al  </w:t>
      </w:r>
      <w:r w:rsidR="00DF3A02" w:rsidRPr="00C55FB2">
        <w:rPr>
          <w:rFonts w:ascii="Century" w:eastAsia="Times New Roman" w:hAnsi="Century" w:cs="Times New Roman"/>
        </w:rPr>
        <w:t>3</w:t>
      </w:r>
      <w:r w:rsidR="00B12F6C" w:rsidRPr="00C55FB2">
        <w:rPr>
          <w:rFonts w:ascii="Century" w:eastAsia="Times New Roman" w:hAnsi="Century" w:cs="Times New Roman"/>
        </w:rPr>
        <w:t>0</w:t>
      </w:r>
      <w:r w:rsidRPr="00C55FB2">
        <w:rPr>
          <w:rFonts w:ascii="Century" w:eastAsia="Times New Roman" w:hAnsi="Century" w:cs="Times New Roman"/>
        </w:rPr>
        <w:t xml:space="preserve"> de </w:t>
      </w:r>
      <w:r w:rsidR="00B12F6C" w:rsidRPr="00C55FB2">
        <w:rPr>
          <w:rFonts w:ascii="Century" w:eastAsia="Times New Roman" w:hAnsi="Century" w:cs="Times New Roman"/>
        </w:rPr>
        <w:t>Septiembre</w:t>
      </w:r>
      <w:r w:rsidRPr="00C55FB2">
        <w:rPr>
          <w:rFonts w:ascii="Century" w:eastAsia="Times New Roman" w:hAnsi="Century" w:cs="Times New Roman"/>
        </w:rPr>
        <w:t xml:space="preserve">  del periodo fiscal  2018 y al </w:t>
      </w:r>
      <w:r w:rsidR="00DF3A02" w:rsidRPr="00C55FB2">
        <w:rPr>
          <w:rFonts w:ascii="Century" w:eastAsia="Times New Roman" w:hAnsi="Century" w:cs="Times New Roman"/>
        </w:rPr>
        <w:t>3</w:t>
      </w:r>
      <w:r w:rsidR="00B12F6C" w:rsidRPr="00C55FB2">
        <w:rPr>
          <w:rFonts w:ascii="Century" w:eastAsia="Times New Roman" w:hAnsi="Century" w:cs="Times New Roman"/>
        </w:rPr>
        <w:t>0</w:t>
      </w:r>
      <w:r w:rsidRPr="00C55FB2">
        <w:rPr>
          <w:rFonts w:ascii="Century" w:eastAsia="Times New Roman" w:hAnsi="Century" w:cs="Times New Roman"/>
        </w:rPr>
        <w:t xml:space="preserve"> de </w:t>
      </w:r>
      <w:r w:rsidR="00B12F6C" w:rsidRPr="00C55FB2">
        <w:rPr>
          <w:rFonts w:ascii="Century" w:eastAsia="Times New Roman" w:hAnsi="Century" w:cs="Times New Roman"/>
        </w:rPr>
        <w:t>Septiembre</w:t>
      </w:r>
      <w:r w:rsidR="00B35D7A" w:rsidRPr="00C55FB2">
        <w:rPr>
          <w:rFonts w:ascii="Century" w:eastAsia="Times New Roman" w:hAnsi="Century" w:cs="Times New Roman"/>
        </w:rPr>
        <w:t xml:space="preserve"> del período fiscal 2017</w:t>
      </w:r>
      <w:r w:rsidRPr="00C55FB2">
        <w:rPr>
          <w:rFonts w:ascii="Century" w:eastAsia="Times New Roman" w:hAnsi="Century" w:cs="Times New Roman"/>
        </w:rPr>
        <w:t>, el efectivo disponible en cuentas bancarias presenta los siguientes balances RD$</w:t>
      </w:r>
      <w:r w:rsidR="00146CBD" w:rsidRPr="00C55FB2">
        <w:rPr>
          <w:rFonts w:ascii="Century" w:eastAsia="Times New Roman" w:hAnsi="Century" w:cs="Times New Roman"/>
          <w:bCs/>
          <w:sz w:val="16"/>
          <w:szCs w:val="17"/>
        </w:rPr>
        <w:t>63,931,593.16</w:t>
      </w:r>
      <w:r w:rsidRPr="00C55FB2">
        <w:rPr>
          <w:rFonts w:ascii="Century" w:eastAsia="Times New Roman" w:hAnsi="Century" w:cs="Times New Roman"/>
        </w:rPr>
        <w:t xml:space="preserve">  y  RD$</w:t>
      </w:r>
      <w:r w:rsidR="00456270" w:rsidRPr="00C55FB2">
        <w:rPr>
          <w:rFonts w:ascii="Century" w:eastAsia="Times New Roman" w:hAnsi="Century" w:cs="Times New Roman"/>
        </w:rPr>
        <w:t>79,263,131.11</w:t>
      </w:r>
      <w:r w:rsidRPr="00C55FB2">
        <w:rPr>
          <w:rFonts w:ascii="Century" w:eastAsia="Times New Roman" w:hAnsi="Century" w:cs="Times New Roman"/>
        </w:rPr>
        <w:t xml:space="preserve"> según el siguiente detalle:</w:t>
      </w:r>
    </w:p>
    <w:p w:rsidR="00722944" w:rsidRPr="00C55FB2" w:rsidRDefault="00722944" w:rsidP="00722944">
      <w:pPr>
        <w:spacing w:after="0" w:line="240" w:lineRule="auto"/>
        <w:jc w:val="both"/>
        <w:rPr>
          <w:rFonts w:ascii="Century" w:eastAsia="Times New Roman" w:hAnsi="Century" w:cs="Times New Roman"/>
        </w:rPr>
      </w:pPr>
    </w:p>
    <w:tbl>
      <w:tblPr>
        <w:tblW w:w="9371" w:type="dxa"/>
        <w:tblInd w:w="108" w:type="dxa"/>
        <w:tblLook w:val="0000" w:firstRow="0" w:lastRow="0" w:firstColumn="0" w:lastColumn="0" w:noHBand="0" w:noVBand="0"/>
      </w:tblPr>
      <w:tblGrid>
        <w:gridCol w:w="5114"/>
        <w:gridCol w:w="239"/>
        <w:gridCol w:w="1952"/>
        <w:gridCol w:w="284"/>
        <w:gridCol w:w="1782"/>
      </w:tblGrid>
      <w:tr w:rsidR="00722944" w:rsidRPr="00C55FB2" w:rsidTr="00F71FBE">
        <w:trPr>
          <w:trHeight w:val="254"/>
        </w:trPr>
        <w:tc>
          <w:tcPr>
            <w:tcW w:w="5114" w:type="dxa"/>
            <w:noWrap/>
            <w:vAlign w:val="bottom"/>
          </w:tcPr>
          <w:p w:rsidR="00722944" w:rsidRPr="00C55FB2" w:rsidRDefault="00722944" w:rsidP="00722944">
            <w:pPr>
              <w:spacing w:after="0" w:line="240" w:lineRule="auto"/>
              <w:jc w:val="both"/>
              <w:rPr>
                <w:rFonts w:ascii="Century" w:eastAsia="Times New Roman" w:hAnsi="Century" w:cs="Times New Roman"/>
                <w:b/>
                <w:bCs/>
              </w:rPr>
            </w:pPr>
            <w:r w:rsidRPr="00C55FB2">
              <w:rPr>
                <w:rFonts w:ascii="Century" w:eastAsia="Times New Roman" w:hAnsi="Century" w:cs="Times New Roman"/>
                <w:b/>
                <w:bCs/>
              </w:rPr>
              <w:t>DESCRIPCIÓN</w:t>
            </w:r>
          </w:p>
        </w:tc>
        <w:tc>
          <w:tcPr>
            <w:tcW w:w="239" w:type="dxa"/>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2" w:type="dxa"/>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Arial Unicode MS" w:hAnsi="Century" w:cs="Times New Roman"/>
                <w:b/>
                <w:bCs/>
                <w:sz w:val="16"/>
                <w:szCs w:val="16"/>
              </w:rPr>
              <w:t>2018</w:t>
            </w:r>
          </w:p>
        </w:tc>
        <w:tc>
          <w:tcPr>
            <w:tcW w:w="284" w:type="dxa"/>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782" w:type="dxa"/>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Arial Unicode MS" w:hAnsi="Century" w:cs="Times New Roman"/>
                <w:b/>
                <w:bCs/>
                <w:sz w:val="16"/>
                <w:szCs w:val="16"/>
              </w:rPr>
              <w:t>2017</w:t>
            </w:r>
          </w:p>
        </w:tc>
      </w:tr>
      <w:tr w:rsidR="00722944" w:rsidRPr="00C55FB2" w:rsidTr="00F71FBE">
        <w:trPr>
          <w:trHeight w:val="254"/>
        </w:trPr>
        <w:tc>
          <w:tcPr>
            <w:tcW w:w="5114" w:type="dxa"/>
            <w:noWrap/>
            <w:vAlign w:val="bottom"/>
          </w:tcPr>
          <w:p w:rsidR="00722944" w:rsidRPr="00C55FB2" w:rsidRDefault="00722944" w:rsidP="0043438E">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Banco de Reservas de l</w:t>
            </w:r>
            <w:r w:rsidR="001F7AA0" w:rsidRPr="00C55FB2">
              <w:rPr>
                <w:rFonts w:ascii="Century" w:eastAsia="Times New Roman" w:hAnsi="Century" w:cs="Times New Roman"/>
                <w:sz w:val="16"/>
                <w:szCs w:val="16"/>
              </w:rPr>
              <w:t xml:space="preserve">a República Dominicana   (Nota </w:t>
            </w:r>
            <w:r w:rsidR="0043438E" w:rsidRPr="00C55FB2">
              <w:rPr>
                <w:rFonts w:ascii="Century" w:eastAsia="Times New Roman" w:hAnsi="Century" w:cs="Times New Roman"/>
                <w:sz w:val="16"/>
                <w:szCs w:val="16"/>
              </w:rPr>
              <w:t>2</w:t>
            </w:r>
            <w:r w:rsidRPr="00C55FB2">
              <w:rPr>
                <w:rFonts w:ascii="Century" w:eastAsia="Times New Roman" w:hAnsi="Century" w:cs="Times New Roman"/>
                <w:sz w:val="16"/>
                <w:szCs w:val="16"/>
              </w:rPr>
              <w:t xml:space="preserve">.1)                  </w:t>
            </w:r>
          </w:p>
        </w:tc>
        <w:tc>
          <w:tcPr>
            <w:tcW w:w="239"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7"/>
              </w:rPr>
              <w:t xml:space="preserve">    </w:t>
            </w:r>
          </w:p>
        </w:tc>
        <w:tc>
          <w:tcPr>
            <w:tcW w:w="1952" w:type="dxa"/>
            <w:vAlign w:val="bottom"/>
          </w:tcPr>
          <w:p w:rsidR="00722944" w:rsidRPr="00C55FB2" w:rsidRDefault="00146CBD"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128,555.68</w:t>
            </w:r>
          </w:p>
        </w:tc>
        <w:tc>
          <w:tcPr>
            <w:tcW w:w="284" w:type="dxa"/>
            <w:noWrap/>
            <w:vAlign w:val="bottom"/>
          </w:tcPr>
          <w:p w:rsidR="00722944" w:rsidRPr="00C55FB2" w:rsidRDefault="00722944" w:rsidP="00722944">
            <w:pPr>
              <w:spacing w:after="0" w:line="240" w:lineRule="auto"/>
              <w:jc w:val="right"/>
              <w:rPr>
                <w:rFonts w:ascii="Century" w:eastAsia="Times New Roman" w:hAnsi="Century" w:cs="Times New Roman"/>
                <w:sz w:val="16"/>
                <w:szCs w:val="17"/>
              </w:rPr>
            </w:pPr>
          </w:p>
        </w:tc>
        <w:tc>
          <w:tcPr>
            <w:tcW w:w="1782" w:type="dxa"/>
            <w:vAlign w:val="bottom"/>
          </w:tcPr>
          <w:p w:rsidR="00722944" w:rsidRPr="00C55FB2" w:rsidRDefault="00456270"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1,223.55</w:t>
            </w:r>
          </w:p>
        </w:tc>
      </w:tr>
      <w:tr w:rsidR="00722944" w:rsidRPr="00C55FB2" w:rsidTr="00F71FBE">
        <w:trPr>
          <w:trHeight w:val="254"/>
        </w:trPr>
        <w:tc>
          <w:tcPr>
            <w:tcW w:w="5114"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Banco Agrícola de </w:t>
            </w:r>
            <w:r w:rsidR="001F7AA0" w:rsidRPr="00C55FB2">
              <w:rPr>
                <w:rFonts w:ascii="Century" w:eastAsia="Times New Roman" w:hAnsi="Century" w:cs="Times New Roman"/>
                <w:sz w:val="16"/>
                <w:szCs w:val="16"/>
              </w:rPr>
              <w:t>la República Dominicana  (Nota 1</w:t>
            </w:r>
            <w:r w:rsidRPr="00C55FB2">
              <w:rPr>
                <w:rFonts w:ascii="Century" w:eastAsia="Times New Roman" w:hAnsi="Century" w:cs="Times New Roman"/>
                <w:sz w:val="16"/>
                <w:szCs w:val="16"/>
              </w:rPr>
              <w:t xml:space="preserve">.1)    </w:t>
            </w:r>
          </w:p>
        </w:tc>
        <w:tc>
          <w:tcPr>
            <w:tcW w:w="239"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C55FB2" w:rsidRDefault="001E1B32"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28,293,312.53</w:t>
            </w:r>
          </w:p>
        </w:tc>
        <w:tc>
          <w:tcPr>
            <w:tcW w:w="284" w:type="dxa"/>
            <w:noWrap/>
            <w:vAlign w:val="bottom"/>
          </w:tcPr>
          <w:p w:rsidR="00722944" w:rsidRPr="00C55FB2"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C55FB2" w:rsidRDefault="00C35290"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31,333,709.49</w:t>
            </w:r>
          </w:p>
        </w:tc>
      </w:tr>
      <w:tr w:rsidR="00722944" w:rsidRPr="00C55FB2" w:rsidTr="00F71FBE">
        <w:trPr>
          <w:trHeight w:val="254"/>
        </w:trPr>
        <w:tc>
          <w:tcPr>
            <w:tcW w:w="5114"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Cajas Chicas             </w:t>
            </w:r>
          </w:p>
        </w:tc>
        <w:tc>
          <w:tcPr>
            <w:tcW w:w="239"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C55FB2" w:rsidRDefault="00146CBD" w:rsidP="00AA207D">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378</w:t>
            </w:r>
            <w:r w:rsidR="00536263" w:rsidRPr="00C55FB2">
              <w:rPr>
                <w:rFonts w:ascii="Century" w:eastAsia="Times New Roman" w:hAnsi="Century" w:cs="Times New Roman"/>
                <w:bCs/>
                <w:sz w:val="16"/>
                <w:szCs w:val="17"/>
              </w:rPr>
              <w:t>.00</w:t>
            </w:r>
          </w:p>
        </w:tc>
        <w:tc>
          <w:tcPr>
            <w:tcW w:w="284" w:type="dxa"/>
            <w:noWrap/>
            <w:vAlign w:val="bottom"/>
          </w:tcPr>
          <w:p w:rsidR="00722944" w:rsidRPr="00C55FB2"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C55FB2" w:rsidRDefault="00C35290"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0.00</w:t>
            </w:r>
          </w:p>
        </w:tc>
      </w:tr>
      <w:tr w:rsidR="00722944" w:rsidRPr="00C55FB2" w:rsidTr="00F71FBE">
        <w:trPr>
          <w:trHeight w:val="254"/>
        </w:trPr>
        <w:tc>
          <w:tcPr>
            <w:tcW w:w="5114"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Tesorería Nacional </w:t>
            </w:r>
          </w:p>
        </w:tc>
        <w:tc>
          <w:tcPr>
            <w:tcW w:w="239"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52" w:type="dxa"/>
            <w:tcBorders>
              <w:top w:val="nil"/>
              <w:left w:val="nil"/>
              <w:bottom w:val="single" w:sz="4" w:space="0" w:color="auto"/>
              <w:right w:val="nil"/>
            </w:tcBorders>
            <w:vAlign w:val="bottom"/>
          </w:tcPr>
          <w:p w:rsidR="00722944" w:rsidRPr="00C55FB2" w:rsidRDefault="00430BAF"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35,509,346.95</w:t>
            </w:r>
          </w:p>
        </w:tc>
        <w:tc>
          <w:tcPr>
            <w:tcW w:w="284" w:type="dxa"/>
            <w:noWrap/>
            <w:vAlign w:val="bottom"/>
          </w:tcPr>
          <w:p w:rsidR="00722944" w:rsidRPr="00C55FB2" w:rsidRDefault="00722944" w:rsidP="00722944">
            <w:pPr>
              <w:spacing w:after="0" w:line="240" w:lineRule="auto"/>
              <w:jc w:val="right"/>
              <w:rPr>
                <w:rFonts w:ascii="Century" w:eastAsia="Times New Roman" w:hAnsi="Century" w:cs="Times New Roman"/>
                <w:bCs/>
                <w:sz w:val="16"/>
                <w:szCs w:val="17"/>
              </w:rPr>
            </w:pPr>
          </w:p>
        </w:tc>
        <w:tc>
          <w:tcPr>
            <w:tcW w:w="1782" w:type="dxa"/>
            <w:tcBorders>
              <w:top w:val="nil"/>
              <w:left w:val="nil"/>
              <w:bottom w:val="single" w:sz="4" w:space="0" w:color="auto"/>
              <w:right w:val="nil"/>
            </w:tcBorders>
          </w:tcPr>
          <w:p w:rsidR="00722944" w:rsidRPr="00C55FB2" w:rsidRDefault="00456270"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47,928,198.07</w:t>
            </w:r>
          </w:p>
        </w:tc>
      </w:tr>
      <w:tr w:rsidR="00722944" w:rsidRPr="00C55FB2" w:rsidTr="00F71FBE">
        <w:trPr>
          <w:trHeight w:val="438"/>
        </w:trPr>
        <w:tc>
          <w:tcPr>
            <w:tcW w:w="5353" w:type="dxa"/>
            <w:gridSpan w:val="2"/>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r w:rsidRPr="00C55FB2">
              <w:rPr>
                <w:rFonts w:ascii="Century" w:eastAsia="Times New Roman" w:hAnsi="Century" w:cs="Times New Roman"/>
                <w:bCs/>
                <w:sz w:val="16"/>
                <w:szCs w:val="16"/>
              </w:rPr>
              <w:t>Total Disponible en Caja y Bancos</w:t>
            </w:r>
          </w:p>
        </w:tc>
        <w:tc>
          <w:tcPr>
            <w:tcW w:w="1952" w:type="dxa"/>
            <w:tcBorders>
              <w:top w:val="single" w:sz="4" w:space="0" w:color="auto"/>
              <w:left w:val="nil"/>
              <w:bottom w:val="double" w:sz="4" w:space="0" w:color="auto"/>
              <w:right w:val="nil"/>
            </w:tcBorders>
            <w:noWrap/>
            <w:vAlign w:val="bottom"/>
          </w:tcPr>
          <w:p w:rsidR="00722944" w:rsidRPr="00C55FB2" w:rsidRDefault="00146CBD"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63,931,593.16</w:t>
            </w:r>
          </w:p>
        </w:tc>
        <w:tc>
          <w:tcPr>
            <w:tcW w:w="284" w:type="dxa"/>
            <w:noWrap/>
            <w:vAlign w:val="bottom"/>
          </w:tcPr>
          <w:p w:rsidR="00722944" w:rsidRPr="00C55FB2" w:rsidRDefault="00722944" w:rsidP="00722944">
            <w:pPr>
              <w:spacing w:after="0" w:line="240" w:lineRule="auto"/>
              <w:jc w:val="right"/>
              <w:rPr>
                <w:rFonts w:ascii="Century" w:eastAsia="Times New Roman" w:hAnsi="Century" w:cs="Times New Roman"/>
                <w:bCs/>
                <w:sz w:val="16"/>
                <w:szCs w:val="17"/>
              </w:rPr>
            </w:pPr>
          </w:p>
        </w:tc>
        <w:tc>
          <w:tcPr>
            <w:tcW w:w="1782" w:type="dxa"/>
            <w:tcBorders>
              <w:top w:val="single" w:sz="4" w:space="0" w:color="auto"/>
              <w:left w:val="nil"/>
              <w:bottom w:val="double" w:sz="4" w:space="0" w:color="auto"/>
              <w:right w:val="nil"/>
            </w:tcBorders>
            <w:vAlign w:val="bottom"/>
          </w:tcPr>
          <w:p w:rsidR="00722944" w:rsidRPr="00C55FB2" w:rsidRDefault="00456270"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79,263,131.11</w:t>
            </w:r>
          </w:p>
        </w:tc>
      </w:tr>
    </w:tbl>
    <w:p w:rsidR="00722944" w:rsidRPr="00C55FB2" w:rsidRDefault="00722944" w:rsidP="00722944">
      <w:pPr>
        <w:spacing w:after="0" w:line="240" w:lineRule="auto"/>
        <w:jc w:val="both"/>
        <w:rPr>
          <w:rFonts w:ascii="Century" w:eastAsia="Times New Roman" w:hAnsi="Century" w:cs="Times New Roman"/>
          <w:b/>
          <w:sz w:val="20"/>
          <w:szCs w:val="21"/>
        </w:rPr>
      </w:pPr>
      <w:r w:rsidRPr="00C55FB2">
        <w:rPr>
          <w:rFonts w:ascii="Century" w:eastAsia="Times New Roman" w:hAnsi="Century" w:cs="Times New Roman"/>
          <w:b/>
          <w:sz w:val="20"/>
          <w:szCs w:val="20"/>
        </w:rPr>
        <w:t xml:space="preserve">            </w:t>
      </w:r>
    </w:p>
    <w:p w:rsidR="00722944" w:rsidRPr="00C55FB2" w:rsidRDefault="00722944" w:rsidP="00722944">
      <w:pPr>
        <w:spacing w:after="0" w:line="240" w:lineRule="auto"/>
        <w:jc w:val="both"/>
        <w:rPr>
          <w:rFonts w:ascii="Century" w:eastAsia="Times New Roman" w:hAnsi="Century" w:cs="Times New Roman"/>
          <w:b/>
          <w:sz w:val="10"/>
          <w:szCs w:val="10"/>
        </w:rPr>
      </w:pPr>
      <w:r w:rsidRPr="00C55FB2">
        <w:rPr>
          <w:rFonts w:ascii="Century" w:eastAsia="Times New Roman" w:hAnsi="Century" w:cs="Times New Roman"/>
          <w:b/>
          <w:sz w:val="20"/>
          <w:szCs w:val="20"/>
        </w:rPr>
        <w:t xml:space="preserve">                    </w:t>
      </w:r>
    </w:p>
    <w:tbl>
      <w:tblPr>
        <w:tblW w:w="3942" w:type="dxa"/>
        <w:tblInd w:w="93" w:type="dxa"/>
        <w:tblLook w:val="0000" w:firstRow="0" w:lastRow="0" w:firstColumn="0" w:lastColumn="0" w:noHBand="0" w:noVBand="0"/>
      </w:tblPr>
      <w:tblGrid>
        <w:gridCol w:w="2000"/>
        <w:gridCol w:w="222"/>
        <w:gridCol w:w="1720"/>
      </w:tblGrid>
      <w:tr w:rsidR="00722944" w:rsidRPr="00C55FB2" w:rsidTr="00F30DC6">
        <w:trPr>
          <w:trHeight w:val="255"/>
        </w:trPr>
        <w:tc>
          <w:tcPr>
            <w:tcW w:w="2000" w:type="dxa"/>
            <w:vAlign w:val="bottom"/>
          </w:tcPr>
          <w:p w:rsidR="00722944" w:rsidRPr="00C55FB2" w:rsidRDefault="00722944" w:rsidP="00722944">
            <w:pPr>
              <w:spacing w:after="0" w:line="240" w:lineRule="auto"/>
              <w:jc w:val="both"/>
              <w:rPr>
                <w:rFonts w:ascii="Century" w:eastAsia="Times New Roman" w:hAnsi="Century" w:cs="Times New Roman"/>
                <w:b/>
                <w:sz w:val="16"/>
                <w:szCs w:val="17"/>
              </w:rPr>
            </w:pPr>
            <w:bookmarkStart w:id="25" w:name="_Toc155686871"/>
          </w:p>
        </w:tc>
        <w:tc>
          <w:tcPr>
            <w:tcW w:w="222" w:type="dxa"/>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720" w:type="dxa"/>
          </w:tcPr>
          <w:p w:rsidR="00722944" w:rsidRPr="00C55FB2" w:rsidRDefault="00722944" w:rsidP="00722944">
            <w:pPr>
              <w:spacing w:after="0" w:line="240" w:lineRule="auto"/>
              <w:jc w:val="both"/>
              <w:rPr>
                <w:rFonts w:ascii="Century" w:eastAsia="Times New Roman" w:hAnsi="Century" w:cs="Times New Roman"/>
                <w:b/>
                <w:sz w:val="16"/>
                <w:szCs w:val="17"/>
              </w:rPr>
            </w:pPr>
          </w:p>
        </w:tc>
      </w:tr>
    </w:tbl>
    <w:p w:rsidR="005B3D36" w:rsidRPr="00C55FB2" w:rsidRDefault="005B3D36" w:rsidP="00722944">
      <w:pPr>
        <w:tabs>
          <w:tab w:val="left" w:pos="-720"/>
        </w:tabs>
        <w:spacing w:after="0"/>
        <w:jc w:val="both"/>
        <w:rPr>
          <w:rFonts w:ascii="Century" w:eastAsia="Times New Roman" w:hAnsi="Century" w:cs="Times New Roman"/>
          <w:b/>
          <w:bCs/>
        </w:rPr>
      </w:pPr>
      <w:bookmarkStart w:id="26" w:name="_Toc207181396"/>
      <w:bookmarkStart w:id="27" w:name="_Toc208202818"/>
      <w:bookmarkStart w:id="28" w:name="_Toc207181395"/>
      <w:bookmarkStart w:id="29" w:name="_Toc155686874"/>
      <w:bookmarkStart w:id="30" w:name="_Toc208202817"/>
      <w:bookmarkEnd w:id="25"/>
    </w:p>
    <w:p w:rsidR="00722944" w:rsidRPr="00C55FB2" w:rsidRDefault="001F7AA0" w:rsidP="00722944">
      <w:pPr>
        <w:tabs>
          <w:tab w:val="left" w:pos="-720"/>
        </w:tabs>
        <w:spacing w:after="0"/>
        <w:jc w:val="both"/>
        <w:rPr>
          <w:rFonts w:ascii="Century" w:eastAsia="Times New Roman" w:hAnsi="Century" w:cs="Times New Roman"/>
          <w:b/>
          <w:bCs/>
        </w:rPr>
      </w:pPr>
      <w:r w:rsidRPr="00C55FB2">
        <w:rPr>
          <w:rFonts w:ascii="Century" w:eastAsia="Times New Roman" w:hAnsi="Century" w:cs="Times New Roman"/>
          <w:b/>
          <w:bCs/>
        </w:rPr>
        <w:t xml:space="preserve">Nota </w:t>
      </w:r>
      <w:r w:rsidR="005619FB" w:rsidRPr="00C55FB2">
        <w:rPr>
          <w:rFonts w:ascii="Century" w:eastAsia="Times New Roman" w:hAnsi="Century" w:cs="Times New Roman"/>
          <w:b/>
          <w:bCs/>
        </w:rPr>
        <w:t>V</w:t>
      </w:r>
      <w:r w:rsidRPr="00C55FB2">
        <w:rPr>
          <w:rFonts w:ascii="Century" w:eastAsia="Times New Roman" w:hAnsi="Century" w:cs="Times New Roman"/>
          <w:b/>
          <w:bCs/>
        </w:rPr>
        <w:t>II</w:t>
      </w:r>
      <w:r w:rsidR="001B7FB1" w:rsidRPr="00C55FB2">
        <w:rPr>
          <w:rFonts w:ascii="Century" w:eastAsia="Times New Roman" w:hAnsi="Century" w:cs="Times New Roman"/>
          <w:b/>
          <w:bCs/>
        </w:rPr>
        <w:t>I</w:t>
      </w:r>
      <w:r w:rsidR="00722944" w:rsidRPr="00C55FB2">
        <w:rPr>
          <w:rFonts w:ascii="Century" w:eastAsia="Times New Roman" w:hAnsi="Century" w:cs="Times New Roman"/>
          <w:bCs/>
        </w:rPr>
        <w:t>:</w:t>
      </w:r>
      <w:r w:rsidR="00722944" w:rsidRPr="00C55FB2">
        <w:rPr>
          <w:rFonts w:ascii="Century" w:eastAsia="Times New Roman" w:hAnsi="Century" w:cs="Times New Roman"/>
          <w:b/>
          <w:bCs/>
        </w:rPr>
        <w:t xml:space="preserve"> Préstamos, Cuentas y Documentos por Cobrar a Corto Plazo</w:t>
      </w:r>
      <w:bookmarkEnd w:id="26"/>
      <w:bookmarkEnd w:id="27"/>
      <w:r w:rsidR="00722944" w:rsidRPr="00C55FB2">
        <w:rPr>
          <w:rFonts w:ascii="Century" w:eastAsia="Times New Roman" w:hAnsi="Century" w:cs="Times New Roman"/>
          <w:b/>
          <w:bCs/>
        </w:rPr>
        <w:t xml:space="preserve"> </w:t>
      </w:r>
    </w:p>
    <w:p w:rsidR="00722944" w:rsidRPr="00C55FB2" w:rsidRDefault="00722944" w:rsidP="00722944">
      <w:pPr>
        <w:tabs>
          <w:tab w:val="left" w:pos="-720"/>
        </w:tabs>
        <w:spacing w:after="0"/>
        <w:jc w:val="both"/>
        <w:rPr>
          <w:rFonts w:ascii="Century" w:eastAsia="Times New Roman" w:hAnsi="Century" w:cs="Times New Roman"/>
          <w:b/>
          <w:bCs/>
        </w:rPr>
      </w:pPr>
    </w:p>
    <w:p w:rsidR="00722944" w:rsidRPr="00C55FB2" w:rsidRDefault="00722944" w:rsidP="00722944">
      <w:pPr>
        <w:tabs>
          <w:tab w:val="left" w:pos="-720"/>
        </w:tabs>
        <w:spacing w:after="0"/>
        <w:jc w:val="both"/>
        <w:rPr>
          <w:rFonts w:ascii="Century" w:eastAsia="Times New Roman" w:hAnsi="Century" w:cs="Times New Roman"/>
        </w:rPr>
      </w:pPr>
      <w:r w:rsidRPr="00C55FB2">
        <w:rPr>
          <w:rFonts w:ascii="Century" w:eastAsia="Times New Roman" w:hAnsi="Century" w:cs="Times New Roman"/>
        </w:rPr>
        <w:t xml:space="preserve">Al </w:t>
      </w:r>
      <w:r w:rsidR="00FC6E1F" w:rsidRPr="00C55FB2">
        <w:rPr>
          <w:rFonts w:ascii="Century" w:eastAsia="Times New Roman" w:hAnsi="Century" w:cs="Times New Roman"/>
        </w:rPr>
        <w:t>3</w:t>
      </w:r>
      <w:r w:rsidR="000C4A90" w:rsidRPr="00C55FB2">
        <w:rPr>
          <w:rFonts w:ascii="Century" w:eastAsia="Times New Roman" w:hAnsi="Century" w:cs="Times New Roman"/>
        </w:rPr>
        <w:t>0</w:t>
      </w:r>
      <w:r w:rsidRPr="00C55FB2">
        <w:rPr>
          <w:rFonts w:ascii="Century" w:eastAsia="Times New Roman" w:hAnsi="Century" w:cs="Times New Roman"/>
        </w:rPr>
        <w:t xml:space="preserve"> de </w:t>
      </w:r>
      <w:r w:rsidR="000C4A90" w:rsidRPr="00C55FB2">
        <w:rPr>
          <w:rFonts w:ascii="Century" w:eastAsia="Times New Roman" w:hAnsi="Century" w:cs="Times New Roman"/>
        </w:rPr>
        <w:t>Septiembre</w:t>
      </w:r>
      <w:r w:rsidRPr="00C55FB2">
        <w:rPr>
          <w:rFonts w:ascii="Century" w:eastAsia="Times New Roman" w:hAnsi="Century" w:cs="Times New Roman"/>
        </w:rPr>
        <w:t xml:space="preserve"> del periodo fiscal  2018 y al </w:t>
      </w:r>
      <w:r w:rsidR="00FC6E1F" w:rsidRPr="00C55FB2">
        <w:rPr>
          <w:rFonts w:ascii="Century" w:eastAsia="Times New Roman" w:hAnsi="Century" w:cs="Times New Roman"/>
        </w:rPr>
        <w:t>3</w:t>
      </w:r>
      <w:r w:rsidR="000C4A90" w:rsidRPr="00C55FB2">
        <w:rPr>
          <w:rFonts w:ascii="Century" w:eastAsia="Times New Roman" w:hAnsi="Century" w:cs="Times New Roman"/>
        </w:rPr>
        <w:t>0</w:t>
      </w:r>
      <w:r w:rsidRPr="00C55FB2">
        <w:rPr>
          <w:rFonts w:ascii="Century" w:eastAsia="Times New Roman" w:hAnsi="Century" w:cs="Times New Roman"/>
        </w:rPr>
        <w:t xml:space="preserve"> de </w:t>
      </w:r>
      <w:r w:rsidR="000C4A90" w:rsidRPr="00C55FB2">
        <w:rPr>
          <w:rFonts w:ascii="Century" w:eastAsia="Times New Roman" w:hAnsi="Century" w:cs="Times New Roman"/>
        </w:rPr>
        <w:t>Septiembre</w:t>
      </w:r>
      <w:r w:rsidRPr="00C55FB2">
        <w:rPr>
          <w:rFonts w:ascii="Century" w:eastAsia="Times New Roman" w:hAnsi="Century" w:cs="Times New Roman"/>
        </w:rPr>
        <w:t xml:space="preserve"> del período fiscal 2017, los balances de estas cuentas reflejan montos de RD$</w:t>
      </w:r>
      <w:r w:rsidR="00B1464C" w:rsidRPr="00C55FB2">
        <w:rPr>
          <w:rFonts w:ascii="Century" w:eastAsia="Times New Roman" w:hAnsi="Century" w:cs="Times New Roman"/>
        </w:rPr>
        <w:t>1</w:t>
      </w:r>
      <w:proofErr w:type="gramStart"/>
      <w:r w:rsidR="00B1464C" w:rsidRPr="00C55FB2">
        <w:rPr>
          <w:rFonts w:ascii="Century" w:eastAsia="Times New Roman" w:hAnsi="Century" w:cs="Times New Roman"/>
        </w:rPr>
        <w:t>,608,786.14</w:t>
      </w:r>
      <w:proofErr w:type="gramEnd"/>
      <w:r w:rsidR="005B3D36" w:rsidRPr="00C55FB2">
        <w:rPr>
          <w:rFonts w:ascii="Century" w:eastAsia="Times New Roman" w:hAnsi="Century" w:cs="Times New Roman"/>
        </w:rPr>
        <w:t xml:space="preserve"> </w:t>
      </w:r>
      <w:r w:rsidRPr="00C55FB2">
        <w:rPr>
          <w:rFonts w:ascii="Century" w:eastAsia="Times New Roman" w:hAnsi="Century" w:cs="Times New Roman"/>
        </w:rPr>
        <w:t xml:space="preserve">y </w:t>
      </w:r>
      <w:r w:rsidR="006965F8" w:rsidRPr="00C55FB2">
        <w:rPr>
          <w:rFonts w:ascii="Century" w:eastAsia="Times New Roman" w:hAnsi="Century" w:cs="Times New Roman"/>
        </w:rPr>
        <w:t>1,291,076.82</w:t>
      </w:r>
      <w:r w:rsidRPr="00C55FB2">
        <w:rPr>
          <w:rFonts w:ascii="Century" w:eastAsia="Times New Roman" w:hAnsi="Century" w:cs="Times New Roman"/>
        </w:rPr>
        <w:t xml:space="preserve">; reflejando una variación de RD$ </w:t>
      </w:r>
      <w:r w:rsidR="00E027AE" w:rsidRPr="00C55FB2">
        <w:rPr>
          <w:rFonts w:ascii="Century" w:eastAsia="Times New Roman" w:hAnsi="Century" w:cs="Times New Roman"/>
        </w:rPr>
        <w:t>327,</w:t>
      </w:r>
      <w:r w:rsidR="00981901" w:rsidRPr="00C55FB2">
        <w:rPr>
          <w:rFonts w:ascii="Century" w:eastAsia="Times New Roman" w:hAnsi="Century" w:cs="Times New Roman"/>
        </w:rPr>
        <w:t>709</w:t>
      </w:r>
      <w:r w:rsidR="00E027AE" w:rsidRPr="00C55FB2">
        <w:rPr>
          <w:rFonts w:ascii="Century" w:eastAsia="Times New Roman" w:hAnsi="Century" w:cs="Times New Roman"/>
        </w:rPr>
        <w:t>.</w:t>
      </w:r>
      <w:r w:rsidR="00981901" w:rsidRPr="00C55FB2">
        <w:rPr>
          <w:rFonts w:ascii="Century" w:eastAsia="Times New Roman" w:hAnsi="Century" w:cs="Times New Roman"/>
        </w:rPr>
        <w:t>32</w:t>
      </w:r>
      <w:r w:rsidRPr="00C55FB2">
        <w:rPr>
          <w:rFonts w:ascii="Century" w:eastAsia="Times New Roman" w:hAnsi="Century" w:cs="Times New Roman"/>
        </w:rPr>
        <w:t xml:space="preserve"> para un incremento de 0.</w:t>
      </w:r>
      <w:r w:rsidR="00036921" w:rsidRPr="00C55FB2">
        <w:rPr>
          <w:rFonts w:ascii="Century" w:eastAsia="Times New Roman" w:hAnsi="Century" w:cs="Times New Roman"/>
        </w:rPr>
        <w:t>20</w:t>
      </w:r>
      <w:r w:rsidRPr="00C55FB2">
        <w:rPr>
          <w:rFonts w:ascii="Century" w:eastAsia="Times New Roman" w:hAnsi="Century" w:cs="Times New Roman"/>
        </w:rPr>
        <w:t xml:space="preserve">%  con relación al año anterior  y están representados  los valores pendientes de cobros a la Comisión de Cacao por el 40% de la facturación de la energía eléctrica por compartir el mismo Edificio y por los según detalle: </w:t>
      </w:r>
    </w:p>
    <w:bookmarkEnd w:id="28"/>
    <w:bookmarkEnd w:id="29"/>
    <w:bookmarkEnd w:id="30"/>
    <w:p w:rsidR="00722944" w:rsidRPr="00C55FB2" w:rsidRDefault="00722944" w:rsidP="00722944">
      <w:pPr>
        <w:spacing w:after="0" w:line="240" w:lineRule="auto"/>
        <w:jc w:val="both"/>
        <w:rPr>
          <w:rFonts w:ascii="Century" w:eastAsia="Times New Roman" w:hAnsi="Century" w:cs="Times New Roman"/>
          <w:szCs w:val="23"/>
        </w:rPr>
      </w:pPr>
    </w:p>
    <w:tbl>
      <w:tblPr>
        <w:tblW w:w="13249" w:type="dxa"/>
        <w:tblInd w:w="93" w:type="dxa"/>
        <w:tblLook w:val="0000" w:firstRow="0" w:lastRow="0" w:firstColumn="0" w:lastColumn="0" w:noHBand="0" w:noVBand="0"/>
      </w:tblPr>
      <w:tblGrid>
        <w:gridCol w:w="9909"/>
        <w:gridCol w:w="2000"/>
        <w:gridCol w:w="222"/>
        <w:gridCol w:w="1118"/>
      </w:tblGrid>
      <w:tr w:rsidR="00722944" w:rsidRPr="00C55FB2" w:rsidTr="00F30DC6">
        <w:trPr>
          <w:trHeight w:val="255"/>
        </w:trPr>
        <w:tc>
          <w:tcPr>
            <w:tcW w:w="9909" w:type="dxa"/>
            <w:noWrap/>
            <w:vAlign w:val="bottom"/>
          </w:tcPr>
          <w:p w:rsidR="00722944" w:rsidRPr="00C55FB2" w:rsidRDefault="00722944" w:rsidP="00722944">
            <w:pPr>
              <w:spacing w:after="0" w:line="240" w:lineRule="auto"/>
              <w:jc w:val="both"/>
              <w:rPr>
                <w:rFonts w:ascii="Century" w:eastAsia="Times New Roman" w:hAnsi="Century" w:cs="Times New Roman"/>
                <w:b/>
                <w:bCs/>
                <w:sz w:val="16"/>
                <w:szCs w:val="16"/>
                <w:lang w:val="es-AR"/>
              </w:rPr>
            </w:pPr>
            <w:r w:rsidRPr="00C55FB2">
              <w:rPr>
                <w:rFonts w:ascii="Century" w:eastAsia="Times New Roman" w:hAnsi="Century" w:cs="Times New Roman"/>
                <w:b/>
                <w:bCs/>
                <w:lang w:val="es-AR"/>
              </w:rPr>
              <w:t>DESCRIPCIÓN</w:t>
            </w:r>
            <w:r w:rsidRPr="00C55FB2">
              <w:rPr>
                <w:rFonts w:ascii="Century" w:eastAsia="Times New Roman" w:hAnsi="Century" w:cs="Times New Roman"/>
                <w:b/>
                <w:bCs/>
                <w:sz w:val="16"/>
                <w:szCs w:val="16"/>
                <w:lang w:val="es-AR"/>
              </w:rPr>
              <w:t xml:space="preserve">                                                                      2018                                      2017</w:t>
            </w:r>
          </w:p>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lang w:val="es-AR"/>
              </w:rPr>
              <w:t xml:space="preserve">                                                                 </w:t>
            </w:r>
          </w:p>
        </w:tc>
        <w:tc>
          <w:tcPr>
            <w:tcW w:w="2000" w:type="dxa"/>
            <w:vAlign w:val="bottom"/>
          </w:tcPr>
          <w:p w:rsidR="00722944" w:rsidRPr="00C55FB2" w:rsidRDefault="00722944" w:rsidP="00722944">
            <w:pPr>
              <w:spacing w:after="0" w:line="240" w:lineRule="auto"/>
              <w:ind w:left="488" w:hanging="488"/>
              <w:jc w:val="both"/>
              <w:rPr>
                <w:rFonts w:ascii="Century" w:eastAsia="Times New Roman" w:hAnsi="Century" w:cs="Times New Roman"/>
                <w:b/>
                <w:bCs/>
                <w:sz w:val="16"/>
                <w:szCs w:val="17"/>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118" w:type="dxa"/>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rPr>
              <w:t>2015</w:t>
            </w:r>
          </w:p>
        </w:tc>
      </w:tr>
      <w:tr w:rsidR="00722944" w:rsidRPr="00C55FB2" w:rsidTr="00F30DC6">
        <w:trPr>
          <w:trHeight w:val="255"/>
        </w:trPr>
        <w:tc>
          <w:tcPr>
            <w:tcW w:w="9909" w:type="dxa"/>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r w:rsidRPr="00C55FB2">
              <w:rPr>
                <w:rFonts w:ascii="Century" w:eastAsia="Times New Roman" w:hAnsi="Century" w:cs="Times New Roman"/>
                <w:b/>
                <w:sz w:val="16"/>
                <w:szCs w:val="17"/>
              </w:rPr>
              <w:t xml:space="preserve">                                                      </w:t>
            </w:r>
          </w:p>
          <w:p w:rsidR="00722944" w:rsidRPr="00C55FB2" w:rsidRDefault="00722944" w:rsidP="00722944">
            <w:pPr>
              <w:spacing w:after="0" w:line="240" w:lineRule="auto"/>
              <w:jc w:val="both"/>
              <w:rPr>
                <w:rFonts w:ascii="Century" w:eastAsia="Times New Roman" w:hAnsi="Century" w:cs="Times New Roman"/>
                <w:b/>
                <w:sz w:val="16"/>
                <w:szCs w:val="17"/>
              </w:rPr>
            </w:pPr>
          </w:p>
        </w:tc>
        <w:tc>
          <w:tcPr>
            <w:tcW w:w="2000" w:type="dxa"/>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C55FB2" w:rsidRDefault="00722944" w:rsidP="00722944">
            <w:pPr>
              <w:spacing w:after="0" w:line="240" w:lineRule="auto"/>
              <w:jc w:val="both"/>
              <w:rPr>
                <w:rFonts w:ascii="Century" w:eastAsia="Times New Roman" w:hAnsi="Century" w:cs="Times New Roman"/>
                <w:b/>
                <w:sz w:val="16"/>
                <w:szCs w:val="17"/>
              </w:rPr>
            </w:pPr>
          </w:p>
        </w:tc>
      </w:tr>
      <w:tr w:rsidR="00722944" w:rsidRPr="00C55FB2" w:rsidTr="00F30DC6">
        <w:trPr>
          <w:trHeight w:val="255"/>
        </w:trPr>
        <w:tc>
          <w:tcPr>
            <w:tcW w:w="9909" w:type="dxa"/>
            <w:noWrap/>
            <w:vAlign w:val="bottom"/>
          </w:tcPr>
          <w:p w:rsidR="00722944" w:rsidRPr="00C55FB2" w:rsidRDefault="00722944" w:rsidP="00722944">
            <w:pPr>
              <w:spacing w:after="0"/>
              <w:jc w:val="both"/>
              <w:rPr>
                <w:rFonts w:ascii="Century" w:eastAsia="Times New Roman" w:hAnsi="Century" w:cs="Times New Roman"/>
                <w:sz w:val="16"/>
                <w:szCs w:val="16"/>
              </w:rPr>
            </w:pPr>
            <w:r w:rsidRPr="00C55FB2">
              <w:rPr>
                <w:rFonts w:ascii="Century" w:eastAsia="Times New Roman" w:hAnsi="Century" w:cs="Times New Roman"/>
                <w:sz w:val="16"/>
                <w:szCs w:val="16"/>
              </w:rPr>
              <w:t xml:space="preserve">Cuentas  por Cobrar a Comisión de Cacao                                                                </w:t>
            </w:r>
            <w:r w:rsidR="005B3D36" w:rsidRPr="00C55FB2">
              <w:rPr>
                <w:rFonts w:ascii="Century" w:eastAsia="Times New Roman" w:hAnsi="Century" w:cs="Times New Roman"/>
                <w:sz w:val="16"/>
                <w:szCs w:val="16"/>
              </w:rPr>
              <w:t xml:space="preserve">    </w:t>
            </w:r>
            <w:r w:rsidR="00B1464C" w:rsidRPr="00C55FB2">
              <w:rPr>
                <w:rFonts w:ascii="Century" w:eastAsia="Times New Roman" w:hAnsi="Century" w:cs="Times New Roman"/>
                <w:sz w:val="16"/>
                <w:szCs w:val="16"/>
              </w:rPr>
              <w:t>1,608,786.14</w:t>
            </w:r>
            <w:r w:rsidR="005B3D36" w:rsidRPr="00C55FB2">
              <w:rPr>
                <w:rFonts w:ascii="Century" w:eastAsia="Times New Roman" w:hAnsi="Century" w:cs="Times New Roman"/>
                <w:sz w:val="16"/>
                <w:szCs w:val="16"/>
              </w:rPr>
              <w:t xml:space="preserve">                                    </w:t>
            </w:r>
            <w:r w:rsidRPr="00C55FB2">
              <w:rPr>
                <w:rFonts w:ascii="Century" w:eastAsia="Times New Roman" w:hAnsi="Century" w:cs="Times New Roman"/>
                <w:sz w:val="16"/>
                <w:szCs w:val="16"/>
              </w:rPr>
              <w:t xml:space="preserve"> </w:t>
            </w:r>
            <w:r w:rsidR="00456270" w:rsidRPr="00C55FB2">
              <w:rPr>
                <w:rFonts w:ascii="Century" w:eastAsia="Times New Roman" w:hAnsi="Century" w:cs="Times New Roman"/>
                <w:sz w:val="16"/>
                <w:szCs w:val="16"/>
              </w:rPr>
              <w:t>1,291,076.82</w:t>
            </w:r>
          </w:p>
          <w:p w:rsidR="00722944" w:rsidRPr="00C55FB2" w:rsidRDefault="00722944" w:rsidP="00722944">
            <w:pPr>
              <w:spacing w:after="0"/>
              <w:jc w:val="both"/>
              <w:rPr>
                <w:rFonts w:ascii="Century" w:eastAsia="Times New Roman" w:hAnsi="Century" w:cs="Times New Roman"/>
                <w:b/>
                <w:sz w:val="16"/>
                <w:szCs w:val="17"/>
              </w:rPr>
            </w:pPr>
          </w:p>
        </w:tc>
        <w:tc>
          <w:tcPr>
            <w:tcW w:w="2000" w:type="dxa"/>
          </w:tcPr>
          <w:p w:rsidR="00722944" w:rsidRPr="00C55FB2"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C55FB2" w:rsidRDefault="00722944" w:rsidP="00722944">
            <w:pPr>
              <w:spacing w:after="0" w:line="240" w:lineRule="auto"/>
              <w:jc w:val="both"/>
              <w:rPr>
                <w:rFonts w:ascii="Century" w:eastAsia="Times New Roman" w:hAnsi="Century" w:cs="Times New Roman"/>
                <w:b/>
                <w:sz w:val="18"/>
                <w:szCs w:val="19"/>
              </w:rPr>
            </w:pPr>
            <w:r w:rsidRPr="00C55FB2">
              <w:rPr>
                <w:rFonts w:ascii="Century" w:eastAsia="Times New Roman" w:hAnsi="Century" w:cs="Times New Roman"/>
                <w:b/>
                <w:sz w:val="18"/>
                <w:szCs w:val="19"/>
              </w:rPr>
              <w:t>691,538.37</w:t>
            </w:r>
          </w:p>
        </w:tc>
      </w:tr>
      <w:tr w:rsidR="00722944" w:rsidRPr="00C55FB2" w:rsidTr="00F30DC6">
        <w:trPr>
          <w:trHeight w:val="255"/>
        </w:trPr>
        <w:tc>
          <w:tcPr>
            <w:tcW w:w="9909" w:type="dxa"/>
            <w:noWrap/>
            <w:vAlign w:val="bottom"/>
          </w:tcPr>
          <w:p w:rsidR="001F7986" w:rsidRPr="00C55FB2" w:rsidRDefault="001F7986" w:rsidP="00722944">
            <w:pPr>
              <w:tabs>
                <w:tab w:val="left" w:pos="-720"/>
              </w:tabs>
              <w:spacing w:after="0"/>
              <w:jc w:val="both"/>
              <w:rPr>
                <w:rFonts w:ascii="Century" w:eastAsia="Times New Roman" w:hAnsi="Century" w:cs="Times New Roman"/>
                <w:b/>
                <w:bCs/>
              </w:rPr>
            </w:pPr>
          </w:p>
          <w:p w:rsidR="00722944" w:rsidRPr="00C55FB2" w:rsidRDefault="001F7AA0" w:rsidP="00722944">
            <w:pPr>
              <w:tabs>
                <w:tab w:val="left" w:pos="-720"/>
              </w:tabs>
              <w:spacing w:after="0"/>
              <w:jc w:val="both"/>
              <w:rPr>
                <w:rFonts w:ascii="Century" w:eastAsia="Times New Roman" w:hAnsi="Century" w:cs="Times New Roman"/>
                <w:bCs/>
              </w:rPr>
            </w:pPr>
            <w:r w:rsidRPr="00C55FB2">
              <w:rPr>
                <w:rFonts w:ascii="Century" w:eastAsia="Times New Roman" w:hAnsi="Century" w:cs="Times New Roman"/>
                <w:b/>
                <w:bCs/>
              </w:rPr>
              <w:t>Nota I</w:t>
            </w:r>
            <w:r w:rsidR="005619FB" w:rsidRPr="00C55FB2">
              <w:rPr>
                <w:rFonts w:ascii="Century" w:eastAsia="Times New Roman" w:hAnsi="Century" w:cs="Times New Roman"/>
                <w:b/>
                <w:bCs/>
              </w:rPr>
              <w:t>X</w:t>
            </w:r>
            <w:r w:rsidR="00722944" w:rsidRPr="00C55FB2">
              <w:rPr>
                <w:rFonts w:ascii="Century" w:eastAsia="Times New Roman" w:hAnsi="Century" w:cs="Times New Roman"/>
                <w:bCs/>
              </w:rPr>
              <w:t xml:space="preserve">: </w:t>
            </w:r>
            <w:r w:rsidR="00722944" w:rsidRPr="00C55FB2">
              <w:rPr>
                <w:rFonts w:ascii="Century" w:eastAsia="Times New Roman" w:hAnsi="Century" w:cs="Times New Roman"/>
                <w:b/>
                <w:bCs/>
              </w:rPr>
              <w:t>Inventario de Consumo</w:t>
            </w:r>
            <w:r w:rsidR="00722944" w:rsidRPr="00C55FB2">
              <w:rPr>
                <w:rFonts w:ascii="Century" w:eastAsia="Times New Roman" w:hAnsi="Century" w:cs="Times New Roman"/>
                <w:bCs/>
              </w:rPr>
              <w:t xml:space="preserve"> </w:t>
            </w:r>
          </w:p>
          <w:p w:rsidR="00722944" w:rsidRPr="00C55FB2" w:rsidRDefault="00722944" w:rsidP="00722944">
            <w:pPr>
              <w:tabs>
                <w:tab w:val="left" w:pos="-720"/>
              </w:tabs>
              <w:spacing w:after="0"/>
              <w:jc w:val="both"/>
              <w:rPr>
                <w:rFonts w:ascii="Century" w:eastAsia="Times New Roman" w:hAnsi="Century" w:cs="Times New Roman"/>
                <w:bCs/>
              </w:rPr>
            </w:pPr>
          </w:p>
          <w:p w:rsidR="00722944" w:rsidRPr="00C55FB2" w:rsidRDefault="00722944" w:rsidP="00722944">
            <w:pPr>
              <w:tabs>
                <w:tab w:val="left" w:pos="-720"/>
              </w:tabs>
              <w:spacing w:after="0"/>
              <w:jc w:val="both"/>
              <w:rPr>
                <w:rFonts w:ascii="Century" w:eastAsia="Times New Roman" w:hAnsi="Century" w:cs="Times New Roman"/>
              </w:rPr>
            </w:pPr>
            <w:r w:rsidRPr="00C55FB2">
              <w:rPr>
                <w:rFonts w:ascii="Century" w:eastAsia="Times New Roman" w:hAnsi="Century" w:cs="Times New Roman"/>
              </w:rPr>
              <w:t xml:space="preserve">Al </w:t>
            </w:r>
            <w:r w:rsidR="00B567A6" w:rsidRPr="00C55FB2">
              <w:rPr>
                <w:rFonts w:ascii="Century" w:eastAsia="Times New Roman" w:hAnsi="Century" w:cs="Times New Roman"/>
              </w:rPr>
              <w:t>3</w:t>
            </w:r>
            <w:r w:rsidR="000C4A90" w:rsidRPr="00C55FB2">
              <w:rPr>
                <w:rFonts w:ascii="Century" w:eastAsia="Times New Roman" w:hAnsi="Century" w:cs="Times New Roman"/>
              </w:rPr>
              <w:t>0</w:t>
            </w:r>
            <w:r w:rsidRPr="00C55FB2">
              <w:rPr>
                <w:rFonts w:ascii="Century" w:eastAsia="Times New Roman" w:hAnsi="Century" w:cs="Times New Roman"/>
              </w:rPr>
              <w:t xml:space="preserve"> de </w:t>
            </w:r>
            <w:r w:rsidR="000C4A90" w:rsidRPr="00C55FB2">
              <w:rPr>
                <w:rFonts w:ascii="Century" w:eastAsia="Times New Roman" w:hAnsi="Century" w:cs="Times New Roman"/>
              </w:rPr>
              <w:t>Septiembre</w:t>
            </w:r>
            <w:r w:rsidRPr="00C55FB2">
              <w:rPr>
                <w:rFonts w:ascii="Century" w:eastAsia="Times New Roman" w:hAnsi="Century" w:cs="Times New Roman"/>
              </w:rPr>
              <w:t xml:space="preserve"> del periodo fiscal  2018 y al </w:t>
            </w:r>
            <w:r w:rsidR="00B567A6" w:rsidRPr="00C55FB2">
              <w:rPr>
                <w:rFonts w:ascii="Century" w:eastAsia="Times New Roman" w:hAnsi="Century" w:cs="Times New Roman"/>
              </w:rPr>
              <w:t>3</w:t>
            </w:r>
            <w:r w:rsidR="000C4A90" w:rsidRPr="00C55FB2">
              <w:rPr>
                <w:rFonts w:ascii="Century" w:eastAsia="Times New Roman" w:hAnsi="Century" w:cs="Times New Roman"/>
              </w:rPr>
              <w:t>0</w:t>
            </w:r>
            <w:r w:rsidRPr="00C55FB2">
              <w:rPr>
                <w:rFonts w:ascii="Century" w:eastAsia="Times New Roman" w:hAnsi="Century" w:cs="Times New Roman"/>
              </w:rPr>
              <w:t xml:space="preserve"> de </w:t>
            </w:r>
            <w:r w:rsidR="000C4A90" w:rsidRPr="00C55FB2">
              <w:rPr>
                <w:rFonts w:ascii="Century" w:eastAsia="Times New Roman" w:hAnsi="Century" w:cs="Times New Roman"/>
              </w:rPr>
              <w:t>Septiembre</w:t>
            </w:r>
            <w:r w:rsidRPr="00C55FB2">
              <w:rPr>
                <w:rFonts w:ascii="Century" w:eastAsia="Times New Roman" w:hAnsi="Century" w:cs="Times New Roman"/>
              </w:rPr>
              <w:t xml:space="preserve"> del período fiscal 2017, los balances de estas partidas están representados  los valores de los materiales y suministros de oficina existente en almacén con un monto  RD$</w:t>
            </w:r>
            <w:r w:rsidR="003B6826" w:rsidRPr="00C55FB2">
              <w:rPr>
                <w:rFonts w:ascii="Century" w:eastAsia="Times New Roman" w:hAnsi="Century" w:cs="Times New Roman"/>
              </w:rPr>
              <w:t>1,344,008.89</w:t>
            </w:r>
            <w:r w:rsidR="00C31FE9" w:rsidRPr="00C55FB2">
              <w:rPr>
                <w:rFonts w:ascii="Century" w:eastAsia="Times New Roman" w:hAnsi="Century" w:cs="Times New Roman"/>
              </w:rPr>
              <w:t xml:space="preserve"> </w:t>
            </w:r>
            <w:r w:rsidRPr="00C55FB2">
              <w:rPr>
                <w:rFonts w:ascii="Century" w:eastAsia="Times New Roman" w:hAnsi="Century" w:cs="Times New Roman"/>
              </w:rPr>
              <w:t>y RD$</w:t>
            </w:r>
            <w:r w:rsidR="008E409C" w:rsidRPr="00C55FB2">
              <w:rPr>
                <w:rFonts w:ascii="Century" w:eastAsia="Times New Roman" w:hAnsi="Century" w:cs="Times New Roman"/>
              </w:rPr>
              <w:t>727,749.21</w:t>
            </w:r>
            <w:r w:rsidRPr="00C55FB2">
              <w:rPr>
                <w:rFonts w:ascii="Century" w:eastAsia="Times New Roman" w:hAnsi="Century" w:cs="Times New Roman"/>
              </w:rPr>
              <w:t xml:space="preserve">;  según detalle: </w:t>
            </w:r>
          </w:p>
          <w:p w:rsidR="00722944" w:rsidRPr="00C55FB2" w:rsidRDefault="00722944" w:rsidP="00722944">
            <w:pPr>
              <w:spacing w:after="0" w:line="240" w:lineRule="auto"/>
              <w:jc w:val="both"/>
              <w:rPr>
                <w:rFonts w:ascii="Century" w:eastAsia="Times New Roman" w:hAnsi="Century" w:cs="Times New Roman"/>
                <w:szCs w:val="23"/>
              </w:rPr>
            </w:pPr>
          </w:p>
          <w:tbl>
            <w:tblPr>
              <w:tblW w:w="9600" w:type="dxa"/>
              <w:tblInd w:w="93" w:type="dxa"/>
              <w:tblLook w:val="0000" w:firstRow="0" w:lastRow="0" w:firstColumn="0" w:lastColumn="0" w:noHBand="0" w:noVBand="0"/>
            </w:tblPr>
            <w:tblGrid>
              <w:gridCol w:w="5680"/>
              <w:gridCol w:w="2000"/>
              <w:gridCol w:w="222"/>
              <w:gridCol w:w="1698"/>
            </w:tblGrid>
            <w:tr w:rsidR="00722944" w:rsidRPr="00C55FB2" w:rsidTr="00F30DC6">
              <w:trPr>
                <w:trHeight w:val="255"/>
              </w:trPr>
              <w:tc>
                <w:tcPr>
                  <w:tcW w:w="5680" w:type="dxa"/>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r w:rsidRPr="00C55FB2">
                    <w:rPr>
                      <w:rFonts w:ascii="Century" w:eastAsia="Times New Roman" w:hAnsi="Century" w:cs="Times New Roman"/>
                      <w:bCs/>
                      <w:sz w:val="16"/>
                      <w:szCs w:val="16"/>
                      <w:lang w:val="es-AR"/>
                    </w:rPr>
                    <w:t>DESCRIPCIÓN</w:t>
                  </w:r>
                </w:p>
              </w:tc>
              <w:tc>
                <w:tcPr>
                  <w:tcW w:w="2000" w:type="dxa"/>
                  <w:vAlign w:val="bottom"/>
                </w:tcPr>
                <w:p w:rsidR="00722944" w:rsidRPr="00C55FB2" w:rsidRDefault="00722944" w:rsidP="00722944">
                  <w:pPr>
                    <w:spacing w:after="0" w:line="240" w:lineRule="auto"/>
                    <w:jc w:val="center"/>
                    <w:rPr>
                      <w:rFonts w:ascii="Century" w:eastAsia="Times New Roman" w:hAnsi="Century" w:cs="Times New Roman"/>
                      <w:bCs/>
                      <w:sz w:val="16"/>
                      <w:szCs w:val="17"/>
                    </w:rPr>
                  </w:pPr>
                  <w:r w:rsidRPr="00C55FB2">
                    <w:rPr>
                      <w:rFonts w:ascii="Century" w:eastAsia="Times New Roman" w:hAnsi="Century" w:cs="Times New Roman"/>
                      <w:bCs/>
                      <w:sz w:val="16"/>
                      <w:szCs w:val="16"/>
                    </w:rPr>
                    <w:t>2018</w:t>
                  </w: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698" w:type="dxa"/>
                  <w:vAlign w:val="bottom"/>
                </w:tcPr>
                <w:p w:rsidR="00722944" w:rsidRPr="00C55FB2" w:rsidRDefault="00722944" w:rsidP="0072294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6"/>
                    </w:rPr>
                    <w:t>2017</w:t>
                  </w:r>
                </w:p>
              </w:tc>
            </w:tr>
            <w:tr w:rsidR="00722944" w:rsidRPr="00C55FB2" w:rsidTr="00F30DC6">
              <w:trPr>
                <w:trHeight w:val="255"/>
              </w:trPr>
              <w:tc>
                <w:tcPr>
                  <w:tcW w:w="5680"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2000"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C55FB2" w:rsidRDefault="00722944" w:rsidP="00722944">
                  <w:pPr>
                    <w:spacing w:after="0" w:line="240" w:lineRule="auto"/>
                    <w:jc w:val="both"/>
                    <w:rPr>
                      <w:rFonts w:ascii="Century" w:eastAsia="Times New Roman" w:hAnsi="Century" w:cs="Times New Roman"/>
                      <w:sz w:val="16"/>
                      <w:szCs w:val="17"/>
                    </w:rPr>
                  </w:pPr>
                </w:p>
              </w:tc>
            </w:tr>
            <w:tr w:rsidR="00722944" w:rsidRPr="00C55FB2" w:rsidTr="00F30DC6">
              <w:trPr>
                <w:trHeight w:val="255"/>
              </w:trPr>
              <w:tc>
                <w:tcPr>
                  <w:tcW w:w="5680" w:type="dxa"/>
                  <w:noWrap/>
                  <w:vAlign w:val="bottom"/>
                </w:tcPr>
                <w:p w:rsidR="00722944" w:rsidRPr="00C55FB2" w:rsidRDefault="00722944" w:rsidP="00722944">
                  <w:pPr>
                    <w:spacing w:after="0"/>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Inventario de materiales y suministros de oficina </w:t>
                  </w:r>
                </w:p>
              </w:tc>
              <w:tc>
                <w:tcPr>
                  <w:tcW w:w="2000" w:type="dxa"/>
                </w:tcPr>
                <w:p w:rsidR="00722944" w:rsidRPr="00C55FB2" w:rsidRDefault="003B6826" w:rsidP="00722944">
                  <w:pPr>
                    <w:spacing w:after="0" w:line="240" w:lineRule="auto"/>
                    <w:jc w:val="right"/>
                    <w:rPr>
                      <w:rFonts w:ascii="Century" w:eastAsia="Times New Roman" w:hAnsi="Century" w:cs="Times New Roman"/>
                      <w:sz w:val="18"/>
                      <w:szCs w:val="19"/>
                    </w:rPr>
                  </w:pPr>
                  <w:r w:rsidRPr="00C55FB2">
                    <w:rPr>
                      <w:rFonts w:ascii="Century" w:eastAsia="Times New Roman" w:hAnsi="Century" w:cs="Times New Roman"/>
                      <w:sz w:val="18"/>
                      <w:szCs w:val="19"/>
                    </w:rPr>
                    <w:t>1,344,008.89</w:t>
                  </w: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C55FB2" w:rsidRDefault="008E409C" w:rsidP="00722944">
                  <w:pPr>
                    <w:spacing w:after="0" w:line="240" w:lineRule="auto"/>
                    <w:jc w:val="right"/>
                    <w:rPr>
                      <w:rFonts w:ascii="Century" w:eastAsia="Times New Roman" w:hAnsi="Century" w:cs="Times New Roman"/>
                      <w:sz w:val="18"/>
                      <w:szCs w:val="19"/>
                    </w:rPr>
                  </w:pPr>
                  <w:r w:rsidRPr="00C55FB2">
                    <w:rPr>
                      <w:rFonts w:ascii="Century" w:eastAsia="Times New Roman" w:hAnsi="Century" w:cs="Times New Roman"/>
                      <w:sz w:val="18"/>
                      <w:szCs w:val="19"/>
                    </w:rPr>
                    <w:t>727,749.21</w:t>
                  </w:r>
                </w:p>
              </w:tc>
            </w:tr>
          </w:tbl>
          <w:p w:rsidR="00722944" w:rsidRPr="00C55FB2" w:rsidRDefault="00722944" w:rsidP="00722944">
            <w:pPr>
              <w:spacing w:after="0"/>
              <w:jc w:val="both"/>
              <w:rPr>
                <w:rFonts w:ascii="Century" w:eastAsia="Times New Roman" w:hAnsi="Century" w:cs="Times New Roman"/>
                <w:sz w:val="16"/>
                <w:szCs w:val="17"/>
              </w:rPr>
            </w:pPr>
          </w:p>
        </w:tc>
        <w:tc>
          <w:tcPr>
            <w:tcW w:w="2000" w:type="dxa"/>
            <w:tcBorders>
              <w:top w:val="nil"/>
              <w:left w:val="nil"/>
              <w:right w:val="nil"/>
            </w:tcBorders>
          </w:tcPr>
          <w:p w:rsidR="00722944" w:rsidRPr="00C55FB2"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118" w:type="dxa"/>
            <w:tcBorders>
              <w:top w:val="nil"/>
              <w:left w:val="nil"/>
              <w:right w:val="nil"/>
            </w:tcBorders>
          </w:tcPr>
          <w:p w:rsidR="00722944" w:rsidRPr="00C55FB2" w:rsidRDefault="00722944" w:rsidP="00722944">
            <w:pPr>
              <w:spacing w:after="0" w:line="240" w:lineRule="auto"/>
              <w:jc w:val="both"/>
              <w:rPr>
                <w:rFonts w:ascii="Century" w:eastAsia="Times New Roman" w:hAnsi="Century" w:cs="Times New Roman"/>
                <w:b/>
                <w:sz w:val="18"/>
                <w:szCs w:val="19"/>
              </w:rPr>
            </w:pPr>
          </w:p>
        </w:tc>
      </w:tr>
      <w:tr w:rsidR="00722944" w:rsidRPr="00C55FB2" w:rsidTr="00F30DC6">
        <w:trPr>
          <w:trHeight w:val="255"/>
        </w:trPr>
        <w:tc>
          <w:tcPr>
            <w:tcW w:w="9909" w:type="dxa"/>
            <w:noWrap/>
            <w:vAlign w:val="bottom"/>
          </w:tcPr>
          <w:p w:rsidR="00722944" w:rsidRPr="00C55FB2" w:rsidRDefault="00722944" w:rsidP="00722944">
            <w:pPr>
              <w:spacing w:after="0"/>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C55FB2" w:rsidRDefault="00722944" w:rsidP="00722944">
            <w:pPr>
              <w:spacing w:after="0" w:line="240" w:lineRule="auto"/>
              <w:jc w:val="both"/>
              <w:rPr>
                <w:rFonts w:ascii="Century" w:eastAsia="Times New Roman" w:hAnsi="Century" w:cs="Arial"/>
                <w:b/>
                <w:sz w:val="20"/>
                <w:szCs w:val="20"/>
              </w:rPr>
            </w:pPr>
          </w:p>
        </w:tc>
        <w:tc>
          <w:tcPr>
            <w:tcW w:w="222" w:type="dxa"/>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118" w:type="dxa"/>
            <w:tcBorders>
              <w:left w:val="nil"/>
              <w:right w:val="nil"/>
            </w:tcBorders>
          </w:tcPr>
          <w:p w:rsidR="00722944" w:rsidRPr="00C55FB2" w:rsidRDefault="00722944" w:rsidP="00722944">
            <w:pPr>
              <w:spacing w:after="0" w:line="240" w:lineRule="auto"/>
              <w:jc w:val="both"/>
              <w:rPr>
                <w:rFonts w:ascii="Century" w:eastAsia="Times New Roman" w:hAnsi="Century" w:cs="Times New Roman"/>
                <w:b/>
                <w:bCs/>
                <w:sz w:val="16"/>
                <w:szCs w:val="17"/>
              </w:rPr>
            </w:pPr>
          </w:p>
        </w:tc>
      </w:tr>
    </w:tbl>
    <w:p w:rsidR="00E90B4C" w:rsidRPr="00C55FB2" w:rsidRDefault="00E90B4C" w:rsidP="00722944">
      <w:pPr>
        <w:keepNext/>
        <w:suppressAutoHyphens/>
        <w:spacing w:after="0" w:line="360" w:lineRule="auto"/>
        <w:jc w:val="both"/>
        <w:outlineLvl w:val="1"/>
        <w:rPr>
          <w:rFonts w:ascii="Century" w:eastAsia="Times New Roman" w:hAnsi="Century" w:cs="Times New Roman"/>
          <w:b/>
          <w:bCs/>
          <w:lang w:eastAsia="es-ES"/>
        </w:rPr>
      </w:pPr>
      <w:bookmarkStart w:id="31" w:name="_Toc155686878"/>
      <w:bookmarkStart w:id="32" w:name="_Toc207181398"/>
      <w:bookmarkStart w:id="33" w:name="_Toc208202820"/>
    </w:p>
    <w:p w:rsidR="00E90B4C" w:rsidRPr="00C55FB2"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C55FB2" w:rsidRDefault="00722944" w:rsidP="00722944">
      <w:pPr>
        <w:keepNext/>
        <w:suppressAutoHyphens/>
        <w:spacing w:after="0" w:line="360" w:lineRule="auto"/>
        <w:jc w:val="both"/>
        <w:outlineLvl w:val="1"/>
        <w:rPr>
          <w:rFonts w:ascii="Century" w:eastAsia="Times New Roman" w:hAnsi="Century" w:cs="Times New Roman"/>
          <w:b/>
          <w:lang w:eastAsia="es-ES"/>
        </w:rPr>
      </w:pPr>
      <w:r w:rsidRPr="00C55FB2">
        <w:rPr>
          <w:rFonts w:ascii="Century" w:eastAsia="Times New Roman" w:hAnsi="Century" w:cs="Times New Roman"/>
          <w:b/>
          <w:bCs/>
          <w:lang w:eastAsia="es-ES"/>
        </w:rPr>
        <w:t xml:space="preserve">Nota </w:t>
      </w:r>
      <w:r w:rsidR="008C6467" w:rsidRPr="00C55FB2">
        <w:rPr>
          <w:rFonts w:ascii="Century" w:eastAsia="Times New Roman" w:hAnsi="Century" w:cs="Times New Roman"/>
          <w:b/>
          <w:bCs/>
          <w:lang w:eastAsia="es-ES"/>
        </w:rPr>
        <w:t>X</w:t>
      </w:r>
      <w:r w:rsidRPr="00C55FB2">
        <w:rPr>
          <w:rFonts w:ascii="Century" w:eastAsia="Times New Roman" w:hAnsi="Century" w:cs="Times New Roman"/>
          <w:b/>
          <w:bCs/>
          <w:lang w:eastAsia="es-ES"/>
        </w:rPr>
        <w:t xml:space="preserve">: </w:t>
      </w:r>
      <w:bookmarkStart w:id="34" w:name="_Toc155686879"/>
      <w:bookmarkEnd w:id="31"/>
      <w:r w:rsidRPr="00C55FB2">
        <w:rPr>
          <w:rFonts w:ascii="Century" w:eastAsia="Times New Roman" w:hAnsi="Century" w:cs="Times New Roman"/>
          <w:b/>
          <w:bCs/>
          <w:lang w:eastAsia="es-ES"/>
        </w:rPr>
        <w:t>Créditos a Cobrar a Largo Plazo</w:t>
      </w:r>
      <w:bookmarkEnd w:id="32"/>
      <w:bookmarkEnd w:id="33"/>
      <w:bookmarkEnd w:id="34"/>
      <w:r w:rsidRPr="00C55FB2">
        <w:rPr>
          <w:rFonts w:ascii="Century" w:eastAsia="Times New Roman" w:hAnsi="Century" w:cs="Times New Roman"/>
          <w:b/>
          <w:bCs/>
          <w:lang w:eastAsia="es-ES"/>
        </w:rPr>
        <w:t xml:space="preserve"> </w:t>
      </w:r>
    </w:p>
    <w:p w:rsidR="00722944" w:rsidRPr="00C55FB2" w:rsidRDefault="00722944" w:rsidP="00722944">
      <w:pPr>
        <w:spacing w:after="0" w:line="312" w:lineRule="auto"/>
        <w:jc w:val="both"/>
        <w:rPr>
          <w:rFonts w:ascii="Century" w:eastAsia="Times New Roman" w:hAnsi="Century" w:cs="Times New Roman"/>
          <w:b/>
          <w:bCs/>
          <w:szCs w:val="23"/>
          <w:lang w:val="es-ES" w:eastAsia="es-ES"/>
        </w:rPr>
      </w:pPr>
    </w:p>
    <w:p w:rsidR="00722944" w:rsidRPr="00C55FB2" w:rsidRDefault="00722944" w:rsidP="00722944">
      <w:pPr>
        <w:tabs>
          <w:tab w:val="left" w:pos="2625"/>
          <w:tab w:val="center" w:pos="4320"/>
          <w:tab w:val="right" w:pos="8640"/>
        </w:tabs>
        <w:spacing w:after="0" w:line="312" w:lineRule="auto"/>
        <w:jc w:val="both"/>
        <w:rPr>
          <w:rFonts w:ascii="Century" w:eastAsia="Times New Roman" w:hAnsi="Century" w:cs="Times New Roman"/>
          <w:sz w:val="23"/>
          <w:szCs w:val="23"/>
        </w:rPr>
      </w:pPr>
      <w:r w:rsidRPr="00C55FB2">
        <w:rPr>
          <w:rFonts w:ascii="Century" w:eastAsia="Times New Roman" w:hAnsi="Century" w:cs="Times New Roman"/>
        </w:rPr>
        <w:t xml:space="preserve">Al  </w:t>
      </w:r>
      <w:r w:rsidR="00167E00" w:rsidRPr="00C55FB2">
        <w:rPr>
          <w:rFonts w:ascii="Century" w:eastAsia="Times New Roman" w:hAnsi="Century" w:cs="Times New Roman"/>
        </w:rPr>
        <w:t>3</w:t>
      </w:r>
      <w:r w:rsidR="00394203" w:rsidRPr="00C55FB2">
        <w:rPr>
          <w:rFonts w:ascii="Century" w:eastAsia="Times New Roman" w:hAnsi="Century" w:cs="Times New Roman"/>
        </w:rPr>
        <w:t>1</w:t>
      </w:r>
      <w:r w:rsidRPr="00C55FB2">
        <w:rPr>
          <w:rFonts w:ascii="Century" w:eastAsia="Times New Roman" w:hAnsi="Century" w:cs="Times New Roman"/>
        </w:rPr>
        <w:t xml:space="preserve"> de </w:t>
      </w:r>
      <w:r w:rsidR="0053345A" w:rsidRPr="00C55FB2">
        <w:rPr>
          <w:rFonts w:ascii="Century" w:eastAsia="Times New Roman" w:hAnsi="Century" w:cs="Times New Roman"/>
        </w:rPr>
        <w:t>Agosto</w:t>
      </w:r>
      <w:r w:rsidRPr="00C55FB2">
        <w:rPr>
          <w:rFonts w:ascii="Century" w:eastAsia="Times New Roman" w:hAnsi="Century" w:cs="Times New Roman"/>
        </w:rPr>
        <w:t xml:space="preserve">  del p</w:t>
      </w:r>
      <w:r w:rsidR="00167E00" w:rsidRPr="00C55FB2">
        <w:rPr>
          <w:rFonts w:ascii="Century" w:eastAsia="Times New Roman" w:hAnsi="Century" w:cs="Times New Roman"/>
        </w:rPr>
        <w:t>eriodo fiscal   2018 y al 3</w:t>
      </w:r>
      <w:r w:rsidR="003467CB" w:rsidRPr="00C55FB2">
        <w:rPr>
          <w:rFonts w:ascii="Century" w:eastAsia="Times New Roman" w:hAnsi="Century" w:cs="Times New Roman"/>
        </w:rPr>
        <w:t>0</w:t>
      </w:r>
      <w:r w:rsidR="00167E00" w:rsidRPr="00C55FB2">
        <w:rPr>
          <w:rFonts w:ascii="Century" w:eastAsia="Times New Roman" w:hAnsi="Century" w:cs="Times New Roman"/>
        </w:rPr>
        <w:t xml:space="preserve"> de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del período fiscal 2017, la cuenta de Préstamos Indirectos e Intereses  a Cobrar a Largo Plazo a productores de café, presenta balances por </w:t>
      </w:r>
      <w:r w:rsidRPr="00C55FB2">
        <w:rPr>
          <w:rFonts w:ascii="Century" w:eastAsia="Times New Roman" w:hAnsi="Century" w:cs="Times New Roman"/>
          <w:sz w:val="20"/>
          <w:szCs w:val="20"/>
        </w:rPr>
        <w:t>RD$</w:t>
      </w:r>
      <w:r w:rsidR="009548BA" w:rsidRPr="00C55FB2">
        <w:rPr>
          <w:rFonts w:ascii="Century" w:eastAsia="Times New Roman" w:hAnsi="Century" w:cs="Times New Roman"/>
          <w:sz w:val="20"/>
          <w:szCs w:val="20"/>
        </w:rPr>
        <w:t>407,893,755.71</w:t>
      </w:r>
      <w:r w:rsidR="00C31FE9" w:rsidRPr="00C55FB2">
        <w:rPr>
          <w:rFonts w:ascii="Century" w:eastAsia="Times New Roman" w:hAnsi="Century" w:cs="Times New Roman"/>
          <w:sz w:val="20"/>
          <w:szCs w:val="20"/>
        </w:rPr>
        <w:t xml:space="preserve"> </w:t>
      </w:r>
      <w:r w:rsidRPr="00C55FB2">
        <w:rPr>
          <w:rFonts w:ascii="Century" w:eastAsia="Times New Roman" w:hAnsi="Century" w:cs="Times New Roman"/>
          <w:sz w:val="20"/>
          <w:szCs w:val="20"/>
        </w:rPr>
        <w:t>y</w:t>
      </w:r>
      <w:r w:rsidRPr="00C55FB2">
        <w:rPr>
          <w:rFonts w:ascii="Century" w:eastAsia="Times New Roman" w:hAnsi="Century" w:cs="Times New Roman"/>
        </w:rPr>
        <w:t xml:space="preserve"> </w:t>
      </w:r>
      <w:r w:rsidRPr="00C55FB2">
        <w:rPr>
          <w:rFonts w:ascii="Century" w:eastAsia="Times New Roman" w:hAnsi="Century" w:cs="Times New Roman"/>
          <w:sz w:val="20"/>
          <w:szCs w:val="20"/>
        </w:rPr>
        <w:t>RD$</w:t>
      </w:r>
      <w:r w:rsidR="00572ECE" w:rsidRPr="00C55FB2">
        <w:rPr>
          <w:rFonts w:ascii="Century" w:eastAsia="Times New Roman" w:hAnsi="Century" w:cs="Times New Roman"/>
          <w:color w:val="000000"/>
          <w:sz w:val="16"/>
          <w:szCs w:val="17"/>
        </w:rPr>
        <w:t>406,950,844.28</w:t>
      </w:r>
      <w:r w:rsidRPr="00C55FB2">
        <w:rPr>
          <w:rFonts w:ascii="Century" w:eastAsia="Times New Roman" w:hAnsi="Century" w:cs="Times New Roman"/>
          <w:i/>
        </w:rPr>
        <w:t xml:space="preserve">  </w:t>
      </w:r>
      <w:r w:rsidRPr="00C55FB2">
        <w:rPr>
          <w:rFonts w:ascii="Century" w:eastAsia="Times New Roman" w:hAnsi="Century" w:cs="Times New Roman"/>
        </w:rPr>
        <w:t xml:space="preserve">respectivamente según detalle: </w:t>
      </w:r>
    </w:p>
    <w:p w:rsidR="00722944" w:rsidRPr="00C55FB2" w:rsidRDefault="00722944" w:rsidP="00722944">
      <w:pPr>
        <w:tabs>
          <w:tab w:val="left" w:pos="2625"/>
          <w:tab w:val="center" w:pos="4320"/>
          <w:tab w:val="right" w:pos="8640"/>
        </w:tabs>
        <w:spacing w:after="0" w:line="360" w:lineRule="auto"/>
        <w:jc w:val="both"/>
        <w:rPr>
          <w:rFonts w:ascii="Century" w:eastAsia="Times New Roman" w:hAnsi="Century" w:cs="Times New Roman"/>
        </w:rPr>
      </w:pPr>
    </w:p>
    <w:tbl>
      <w:tblPr>
        <w:tblW w:w="9192" w:type="dxa"/>
        <w:tblInd w:w="108" w:type="dxa"/>
        <w:tblLook w:val="0000" w:firstRow="0" w:lastRow="0" w:firstColumn="0" w:lastColumn="0" w:noHBand="0" w:noVBand="0"/>
      </w:tblPr>
      <w:tblGrid>
        <w:gridCol w:w="5760"/>
        <w:gridCol w:w="1566"/>
        <w:gridCol w:w="300"/>
        <w:gridCol w:w="1566"/>
      </w:tblGrid>
      <w:tr w:rsidR="00722944" w:rsidRPr="00C55FB2" w:rsidTr="00F30DC6">
        <w:trPr>
          <w:trHeight w:val="255"/>
        </w:trPr>
        <w:tc>
          <w:tcPr>
            <w:tcW w:w="5760" w:type="dxa"/>
            <w:noWrap/>
          </w:tcPr>
          <w:p w:rsidR="00722944" w:rsidRPr="00C55FB2" w:rsidRDefault="00722944" w:rsidP="00722944">
            <w:pPr>
              <w:spacing w:after="0" w:line="240" w:lineRule="auto"/>
              <w:jc w:val="both"/>
              <w:rPr>
                <w:rFonts w:ascii="Century" w:eastAsia="Times New Roman" w:hAnsi="Century" w:cs="Times New Roman"/>
                <w:b/>
                <w:bCs/>
                <w:color w:val="000000"/>
              </w:rPr>
            </w:pPr>
            <w:r w:rsidRPr="00C55FB2">
              <w:rPr>
                <w:rFonts w:ascii="Century" w:eastAsia="Times New Roman" w:hAnsi="Century" w:cs="Times New Roman"/>
                <w:b/>
                <w:bCs/>
                <w:color w:val="000000"/>
                <w:lang w:val="es-UY"/>
              </w:rPr>
              <w:t>Tipo de Deuda</w:t>
            </w:r>
          </w:p>
        </w:tc>
        <w:tc>
          <w:tcPr>
            <w:tcW w:w="1566" w:type="dxa"/>
          </w:tcPr>
          <w:p w:rsidR="00722944" w:rsidRPr="00C55FB2" w:rsidRDefault="00722944" w:rsidP="00722944">
            <w:pPr>
              <w:spacing w:after="0" w:line="240" w:lineRule="auto"/>
              <w:jc w:val="center"/>
              <w:rPr>
                <w:rFonts w:ascii="Century" w:eastAsia="Times New Roman" w:hAnsi="Century" w:cs="Times New Roman"/>
                <w:b/>
                <w:bCs/>
                <w:sz w:val="16"/>
                <w:szCs w:val="17"/>
              </w:rPr>
            </w:pPr>
            <w:r w:rsidRPr="00C55FB2">
              <w:rPr>
                <w:rFonts w:ascii="Century" w:eastAsia="Arial Unicode MS" w:hAnsi="Century" w:cs="Times New Roman"/>
                <w:b/>
                <w:bCs/>
                <w:sz w:val="16"/>
                <w:szCs w:val="16"/>
              </w:rPr>
              <w:t>2018</w:t>
            </w:r>
          </w:p>
        </w:tc>
        <w:tc>
          <w:tcPr>
            <w:tcW w:w="300" w:type="dxa"/>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566" w:type="dxa"/>
          </w:tcPr>
          <w:p w:rsidR="00722944" w:rsidRPr="00C55FB2" w:rsidRDefault="00722944" w:rsidP="00722944">
            <w:pPr>
              <w:spacing w:after="0" w:line="240" w:lineRule="auto"/>
              <w:jc w:val="center"/>
              <w:rPr>
                <w:rFonts w:ascii="Century" w:eastAsia="Times New Roman" w:hAnsi="Century" w:cs="Times New Roman"/>
                <w:b/>
                <w:bCs/>
                <w:sz w:val="16"/>
                <w:szCs w:val="17"/>
              </w:rPr>
            </w:pPr>
            <w:r w:rsidRPr="00C55FB2">
              <w:rPr>
                <w:rFonts w:ascii="Century" w:eastAsia="Times New Roman" w:hAnsi="Century" w:cs="Times New Roman"/>
                <w:b/>
                <w:bCs/>
                <w:sz w:val="16"/>
                <w:szCs w:val="16"/>
                <w:lang w:val="es-UY"/>
              </w:rPr>
              <w:t>2017</w:t>
            </w:r>
          </w:p>
        </w:tc>
      </w:tr>
      <w:tr w:rsidR="00722944" w:rsidRPr="00C55FB2" w:rsidTr="00F30DC6">
        <w:trPr>
          <w:trHeight w:val="255"/>
        </w:trPr>
        <w:tc>
          <w:tcPr>
            <w:tcW w:w="5760" w:type="dxa"/>
            <w:noWrap/>
            <w:vAlign w:val="bottom"/>
          </w:tcPr>
          <w:p w:rsidR="00722944" w:rsidRPr="00C55FB2" w:rsidRDefault="00722944" w:rsidP="00722944">
            <w:pPr>
              <w:spacing w:after="0" w:line="240" w:lineRule="auto"/>
              <w:jc w:val="both"/>
              <w:rPr>
                <w:rFonts w:ascii="Century" w:eastAsia="Times New Roman" w:hAnsi="Century" w:cs="Times New Roman"/>
                <w:b/>
                <w:color w:val="000000"/>
                <w:sz w:val="16"/>
                <w:szCs w:val="17"/>
              </w:rPr>
            </w:pPr>
          </w:p>
        </w:tc>
        <w:tc>
          <w:tcPr>
            <w:tcW w:w="1566" w:type="dxa"/>
            <w:vAlign w:val="bottom"/>
          </w:tcPr>
          <w:p w:rsidR="00722944" w:rsidRPr="00C55FB2" w:rsidRDefault="00722944" w:rsidP="00722944">
            <w:pPr>
              <w:spacing w:after="0" w:line="240" w:lineRule="auto"/>
              <w:jc w:val="both"/>
              <w:rPr>
                <w:rFonts w:ascii="Century" w:eastAsia="Times New Roman" w:hAnsi="Century" w:cs="Times New Roman"/>
                <w:b/>
                <w:color w:val="000000"/>
                <w:sz w:val="16"/>
                <w:szCs w:val="17"/>
              </w:rPr>
            </w:pPr>
          </w:p>
        </w:tc>
        <w:tc>
          <w:tcPr>
            <w:tcW w:w="300" w:type="dxa"/>
            <w:vAlign w:val="bottom"/>
          </w:tcPr>
          <w:p w:rsidR="00722944" w:rsidRPr="00C55FB2" w:rsidRDefault="00722944" w:rsidP="00722944">
            <w:pPr>
              <w:spacing w:after="0" w:line="240" w:lineRule="auto"/>
              <w:jc w:val="both"/>
              <w:rPr>
                <w:rFonts w:ascii="Century" w:eastAsia="Times New Roman" w:hAnsi="Century" w:cs="Times New Roman"/>
                <w:b/>
                <w:color w:val="000000"/>
                <w:sz w:val="16"/>
                <w:szCs w:val="17"/>
              </w:rPr>
            </w:pPr>
          </w:p>
        </w:tc>
        <w:tc>
          <w:tcPr>
            <w:tcW w:w="1566" w:type="dxa"/>
            <w:noWrap/>
            <w:vAlign w:val="bottom"/>
          </w:tcPr>
          <w:p w:rsidR="00722944" w:rsidRPr="00C55FB2" w:rsidRDefault="00722944" w:rsidP="00722944">
            <w:pPr>
              <w:spacing w:after="0" w:line="360" w:lineRule="auto"/>
              <w:ind w:right="29"/>
              <w:jc w:val="both"/>
              <w:rPr>
                <w:rFonts w:ascii="Century" w:eastAsia="Arial Unicode MS" w:hAnsi="Century" w:cs="Times New Roman"/>
                <w:b/>
                <w:color w:val="000000"/>
                <w:sz w:val="18"/>
                <w:szCs w:val="19"/>
              </w:rPr>
            </w:pPr>
          </w:p>
        </w:tc>
      </w:tr>
      <w:tr w:rsidR="00722944" w:rsidRPr="00C55FB2" w:rsidTr="00F30DC6">
        <w:trPr>
          <w:trHeight w:val="255"/>
        </w:trPr>
        <w:tc>
          <w:tcPr>
            <w:tcW w:w="5760" w:type="dxa"/>
            <w:noWrap/>
            <w:vAlign w:val="bottom"/>
          </w:tcPr>
          <w:p w:rsidR="00722944" w:rsidRPr="00C55FB2" w:rsidRDefault="00722944" w:rsidP="00722944">
            <w:pPr>
              <w:spacing w:after="0" w:line="240" w:lineRule="auto"/>
              <w:jc w:val="both"/>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6"/>
                <w:lang w:val="es-ES"/>
              </w:rPr>
              <w:t>Préstamos a productores de café</w:t>
            </w:r>
          </w:p>
        </w:tc>
        <w:tc>
          <w:tcPr>
            <w:tcW w:w="1566" w:type="dxa"/>
            <w:tcBorders>
              <w:top w:val="nil"/>
              <w:left w:val="nil"/>
              <w:right w:val="nil"/>
            </w:tcBorders>
            <w:vAlign w:val="bottom"/>
          </w:tcPr>
          <w:p w:rsidR="00722944" w:rsidRPr="00C55FB2" w:rsidRDefault="009548BA" w:rsidP="00E33B17">
            <w:pPr>
              <w:spacing w:after="0" w:line="240" w:lineRule="auto"/>
              <w:jc w:val="both"/>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407,893,755.71</w:t>
            </w:r>
          </w:p>
        </w:tc>
        <w:tc>
          <w:tcPr>
            <w:tcW w:w="300" w:type="dxa"/>
            <w:vAlign w:val="bottom"/>
          </w:tcPr>
          <w:p w:rsidR="00722944" w:rsidRPr="00C55FB2" w:rsidRDefault="00722944" w:rsidP="00722944">
            <w:pPr>
              <w:spacing w:after="0" w:line="240" w:lineRule="auto"/>
              <w:jc w:val="both"/>
              <w:rPr>
                <w:rFonts w:ascii="Century" w:eastAsia="Times New Roman" w:hAnsi="Century" w:cs="Times New Roman"/>
                <w:color w:val="000000"/>
                <w:sz w:val="16"/>
                <w:szCs w:val="17"/>
              </w:rPr>
            </w:pPr>
          </w:p>
        </w:tc>
        <w:tc>
          <w:tcPr>
            <w:tcW w:w="1566" w:type="dxa"/>
            <w:tcBorders>
              <w:top w:val="nil"/>
              <w:left w:val="nil"/>
              <w:right w:val="nil"/>
            </w:tcBorders>
            <w:noWrap/>
            <w:vAlign w:val="bottom"/>
          </w:tcPr>
          <w:p w:rsidR="00722944" w:rsidRPr="00C55FB2" w:rsidRDefault="00BD423F" w:rsidP="00572ECE">
            <w:pPr>
              <w:spacing w:after="0" w:line="240" w:lineRule="auto"/>
              <w:jc w:val="both"/>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406,</w:t>
            </w:r>
            <w:r w:rsidR="00572ECE" w:rsidRPr="00C55FB2">
              <w:rPr>
                <w:rFonts w:ascii="Century" w:eastAsia="Times New Roman" w:hAnsi="Century" w:cs="Times New Roman"/>
                <w:color w:val="000000"/>
                <w:sz w:val="16"/>
                <w:szCs w:val="17"/>
              </w:rPr>
              <w:t>950,844.28</w:t>
            </w:r>
          </w:p>
        </w:tc>
      </w:tr>
      <w:tr w:rsidR="00722944" w:rsidRPr="00C55FB2" w:rsidTr="00F30DC6">
        <w:trPr>
          <w:trHeight w:val="270"/>
        </w:trPr>
        <w:tc>
          <w:tcPr>
            <w:tcW w:w="5760" w:type="dxa"/>
            <w:noWrap/>
            <w:vAlign w:val="bottom"/>
          </w:tcPr>
          <w:p w:rsidR="00722944" w:rsidRPr="00C55FB2" w:rsidRDefault="00722944" w:rsidP="00722944">
            <w:pPr>
              <w:spacing w:after="0" w:line="240" w:lineRule="auto"/>
              <w:jc w:val="both"/>
              <w:rPr>
                <w:rFonts w:ascii="Century" w:eastAsia="Times New Roman" w:hAnsi="Century" w:cs="Times New Roman"/>
                <w:b/>
                <w:bCs/>
                <w:color w:val="000000"/>
                <w:sz w:val="16"/>
                <w:szCs w:val="17"/>
              </w:rPr>
            </w:pPr>
          </w:p>
        </w:tc>
        <w:tc>
          <w:tcPr>
            <w:tcW w:w="1566" w:type="dxa"/>
            <w:tcBorders>
              <w:left w:val="nil"/>
              <w:right w:val="nil"/>
            </w:tcBorders>
            <w:noWrap/>
            <w:vAlign w:val="bottom"/>
          </w:tcPr>
          <w:p w:rsidR="00722944" w:rsidRPr="00C55FB2" w:rsidRDefault="00722944" w:rsidP="00722944">
            <w:pPr>
              <w:spacing w:after="0" w:line="240" w:lineRule="auto"/>
              <w:jc w:val="both"/>
              <w:rPr>
                <w:rFonts w:ascii="Century" w:eastAsia="Times New Roman" w:hAnsi="Century" w:cs="Times New Roman"/>
                <w:b/>
                <w:bCs/>
                <w:sz w:val="16"/>
                <w:szCs w:val="16"/>
              </w:rPr>
            </w:pPr>
          </w:p>
        </w:tc>
        <w:tc>
          <w:tcPr>
            <w:tcW w:w="300" w:type="dxa"/>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566" w:type="dxa"/>
            <w:tcBorders>
              <w:left w:val="nil"/>
              <w:right w:val="nil"/>
            </w:tcBorders>
            <w:noWrap/>
            <w:vAlign w:val="bottom"/>
          </w:tcPr>
          <w:p w:rsidR="00722944" w:rsidRPr="00C55FB2" w:rsidRDefault="00722944" w:rsidP="00722944">
            <w:pPr>
              <w:spacing w:after="0" w:line="240" w:lineRule="auto"/>
              <w:jc w:val="both"/>
              <w:rPr>
                <w:rFonts w:ascii="Century" w:eastAsia="Arial Unicode MS" w:hAnsi="Century" w:cs="Times New Roman"/>
                <w:b/>
                <w:sz w:val="18"/>
                <w:szCs w:val="19"/>
              </w:rPr>
            </w:pPr>
          </w:p>
        </w:tc>
      </w:tr>
    </w:tbl>
    <w:p w:rsidR="00722944" w:rsidRPr="00C55FB2" w:rsidRDefault="00722944" w:rsidP="00722944">
      <w:pPr>
        <w:spacing w:after="0" w:line="240" w:lineRule="auto"/>
        <w:jc w:val="both"/>
        <w:rPr>
          <w:rFonts w:ascii="Century" w:eastAsia="Times New Roman" w:hAnsi="Century" w:cs="Times New Roman"/>
          <w:b/>
          <w:sz w:val="16"/>
          <w:szCs w:val="17"/>
        </w:rPr>
      </w:pPr>
    </w:p>
    <w:p w:rsidR="00722944" w:rsidRPr="00C55FB2" w:rsidRDefault="00722944" w:rsidP="00722944">
      <w:pPr>
        <w:spacing w:after="0" w:line="240" w:lineRule="auto"/>
        <w:jc w:val="both"/>
        <w:rPr>
          <w:rFonts w:ascii="Century" w:eastAsia="Times New Roman" w:hAnsi="Century" w:cs="Times New Roman"/>
          <w:b/>
          <w:sz w:val="16"/>
          <w:szCs w:val="16"/>
        </w:rPr>
      </w:pPr>
      <w:r w:rsidRPr="00C55FB2">
        <w:rPr>
          <w:rFonts w:ascii="Century" w:eastAsia="Times New Roman" w:hAnsi="Century" w:cs="Times New Roman"/>
          <w:b/>
          <w:sz w:val="16"/>
          <w:szCs w:val="16"/>
        </w:rPr>
        <w:t xml:space="preserve">   </w:t>
      </w:r>
      <w:bookmarkStart w:id="35" w:name="_Toc155686882"/>
    </w:p>
    <w:p w:rsidR="00722944" w:rsidRPr="00C55FB2" w:rsidRDefault="00722944" w:rsidP="00722944">
      <w:pPr>
        <w:keepNext/>
        <w:suppressAutoHyphens/>
        <w:spacing w:after="0"/>
        <w:jc w:val="both"/>
        <w:outlineLvl w:val="1"/>
        <w:rPr>
          <w:rFonts w:ascii="Century" w:eastAsia="Times New Roman" w:hAnsi="Century" w:cs="Times New Roman"/>
          <w:b/>
          <w:bCs/>
          <w:lang w:eastAsia="es-ES"/>
        </w:rPr>
      </w:pPr>
      <w:bookmarkStart w:id="36" w:name="_Toc208202822"/>
      <w:bookmarkStart w:id="37" w:name="_Toc207181400"/>
    </w:p>
    <w:p w:rsidR="00D229E1" w:rsidRPr="00C55FB2" w:rsidRDefault="00D229E1" w:rsidP="00722944">
      <w:pPr>
        <w:keepNext/>
        <w:suppressAutoHyphens/>
        <w:spacing w:after="0"/>
        <w:jc w:val="both"/>
        <w:outlineLvl w:val="1"/>
        <w:rPr>
          <w:rFonts w:ascii="Century" w:eastAsia="Times New Roman" w:hAnsi="Century" w:cs="Times New Roman"/>
          <w:b/>
          <w:bCs/>
          <w:lang w:eastAsia="es-ES"/>
        </w:rPr>
      </w:pPr>
    </w:p>
    <w:p w:rsidR="00722944" w:rsidRPr="00C55FB2" w:rsidRDefault="001F7AA0" w:rsidP="00722944">
      <w:pPr>
        <w:keepNext/>
        <w:suppressAutoHyphens/>
        <w:spacing w:after="0"/>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 xml:space="preserve">Nota </w:t>
      </w:r>
      <w:r w:rsidR="00BF70B3" w:rsidRPr="00C55FB2">
        <w:rPr>
          <w:rFonts w:ascii="Century" w:eastAsia="Times New Roman" w:hAnsi="Century" w:cs="Times New Roman"/>
          <w:b/>
          <w:bCs/>
          <w:lang w:eastAsia="es-ES"/>
        </w:rPr>
        <w:t>X</w:t>
      </w:r>
      <w:r w:rsidR="005619FB" w:rsidRPr="00C55FB2">
        <w:rPr>
          <w:rFonts w:ascii="Century" w:eastAsia="Times New Roman" w:hAnsi="Century" w:cs="Times New Roman"/>
          <w:b/>
          <w:bCs/>
          <w:lang w:eastAsia="es-ES"/>
        </w:rPr>
        <w:t>I</w:t>
      </w:r>
      <w:r w:rsidR="00722944" w:rsidRPr="00C55FB2">
        <w:rPr>
          <w:rFonts w:ascii="Century" w:eastAsia="Times New Roman" w:hAnsi="Century" w:cs="Times New Roman"/>
          <w:b/>
          <w:bCs/>
          <w:lang w:eastAsia="es-ES"/>
        </w:rPr>
        <w:t>:   Bienes de Uso (Activos No Financieros)</w:t>
      </w:r>
      <w:bookmarkEnd w:id="35"/>
      <w:bookmarkEnd w:id="36"/>
      <w:bookmarkEnd w:id="37"/>
    </w:p>
    <w:p w:rsidR="00722944" w:rsidRPr="00C55FB2" w:rsidRDefault="00722944" w:rsidP="00722944">
      <w:pPr>
        <w:spacing w:after="0" w:line="240" w:lineRule="auto"/>
        <w:jc w:val="both"/>
        <w:rPr>
          <w:rFonts w:ascii="Century" w:eastAsia="Times New Roman" w:hAnsi="Century" w:cs="Times New Roman"/>
          <w:b/>
          <w:sz w:val="24"/>
          <w:szCs w:val="24"/>
          <w:lang w:eastAsia="es-ES"/>
        </w:rPr>
      </w:pPr>
    </w:p>
    <w:p w:rsidR="00722944" w:rsidRPr="00C55FB2" w:rsidRDefault="00722944" w:rsidP="00722944">
      <w:pPr>
        <w:tabs>
          <w:tab w:val="center" w:pos="4320"/>
          <w:tab w:val="right" w:pos="8640"/>
        </w:tabs>
        <w:spacing w:after="0"/>
        <w:jc w:val="both"/>
        <w:rPr>
          <w:rFonts w:ascii="Century" w:eastAsia="Times New Roman" w:hAnsi="Century" w:cs="Times New Roman"/>
          <w:b/>
          <w:bCs/>
          <w:sz w:val="14"/>
          <w:szCs w:val="15"/>
        </w:rPr>
      </w:pPr>
    </w:p>
    <w:p w:rsidR="00722944" w:rsidRPr="00C55FB2" w:rsidRDefault="00722944" w:rsidP="00722944">
      <w:pPr>
        <w:spacing w:after="0"/>
        <w:jc w:val="both"/>
        <w:rPr>
          <w:rFonts w:ascii="Century" w:eastAsia="Times New Roman" w:hAnsi="Century" w:cs="Times New Roman"/>
          <w:lang w:val="es-UY"/>
        </w:rPr>
      </w:pPr>
      <w:r w:rsidRPr="00C55FB2">
        <w:rPr>
          <w:rFonts w:ascii="Century" w:eastAsia="Times New Roman" w:hAnsi="Century" w:cs="Times New Roman"/>
        </w:rPr>
        <w:t xml:space="preserve">Durante el ejercicio fiscal del  </w:t>
      </w:r>
      <w:r w:rsidR="00511ECA" w:rsidRPr="00C55FB2">
        <w:rPr>
          <w:rFonts w:ascii="Century" w:eastAsia="Times New Roman" w:hAnsi="Century" w:cs="Times New Roman"/>
        </w:rPr>
        <w:t>3</w:t>
      </w:r>
      <w:r w:rsidR="003467CB" w:rsidRPr="00C55FB2">
        <w:rPr>
          <w:rFonts w:ascii="Century" w:eastAsia="Times New Roman" w:hAnsi="Century" w:cs="Times New Roman"/>
        </w:rPr>
        <w:t>0</w:t>
      </w:r>
      <w:r w:rsidRPr="00C55FB2">
        <w:rPr>
          <w:rFonts w:ascii="Century" w:eastAsia="Times New Roman" w:hAnsi="Century" w:cs="Times New Roman"/>
        </w:rPr>
        <w:t xml:space="preserve"> de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del 2018 y  el </w:t>
      </w:r>
      <w:r w:rsidR="00511ECA" w:rsidRPr="00C55FB2">
        <w:rPr>
          <w:rFonts w:ascii="Century" w:eastAsia="Times New Roman" w:hAnsi="Century" w:cs="Times New Roman"/>
        </w:rPr>
        <w:t>3</w:t>
      </w:r>
      <w:r w:rsidR="003467CB" w:rsidRPr="00C55FB2">
        <w:rPr>
          <w:rFonts w:ascii="Century" w:eastAsia="Times New Roman" w:hAnsi="Century" w:cs="Times New Roman"/>
        </w:rPr>
        <w:t>0</w:t>
      </w:r>
      <w:r w:rsidRPr="00C55FB2">
        <w:rPr>
          <w:rFonts w:ascii="Century" w:eastAsia="Times New Roman" w:hAnsi="Century" w:cs="Times New Roman"/>
        </w:rPr>
        <w:t xml:space="preserve"> de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del ejercicio fiscal 2017, </w:t>
      </w:r>
      <w:r w:rsidRPr="00C55FB2">
        <w:rPr>
          <w:rFonts w:ascii="Century" w:eastAsia="Times New Roman" w:hAnsi="Century" w:cs="Times New Roman"/>
          <w:lang w:val="es-UY"/>
        </w:rPr>
        <w:t>los balances de las cuentas de Activos No Financieros (Neto) son de RD$</w:t>
      </w:r>
      <w:r w:rsidR="00966781" w:rsidRPr="00C55FB2">
        <w:rPr>
          <w:rFonts w:ascii="Century" w:eastAsia="Times New Roman" w:hAnsi="Century" w:cs="Times New Roman"/>
          <w:lang w:val="es-UY"/>
        </w:rPr>
        <w:t>5</w:t>
      </w:r>
      <w:proofErr w:type="gramStart"/>
      <w:r w:rsidR="00966781" w:rsidRPr="00C55FB2">
        <w:rPr>
          <w:rFonts w:ascii="Century" w:eastAsia="Times New Roman" w:hAnsi="Century" w:cs="Times New Roman"/>
          <w:lang w:val="es-UY"/>
        </w:rPr>
        <w:t>,944,825.81</w:t>
      </w:r>
      <w:proofErr w:type="gramEnd"/>
      <w:r w:rsidR="00C31FE9" w:rsidRPr="00C55FB2">
        <w:rPr>
          <w:rFonts w:ascii="Century" w:eastAsia="Times New Roman" w:hAnsi="Century" w:cs="Times New Roman"/>
          <w:lang w:val="es-UY"/>
        </w:rPr>
        <w:t xml:space="preserve"> </w:t>
      </w:r>
      <w:r w:rsidRPr="00C55FB2">
        <w:rPr>
          <w:rFonts w:ascii="Century" w:eastAsia="Arial Unicode MS" w:hAnsi="Century" w:cs="Times New Roman"/>
        </w:rPr>
        <w:t>y</w:t>
      </w:r>
      <w:r w:rsidRPr="00C55FB2">
        <w:rPr>
          <w:rFonts w:ascii="Century" w:eastAsia="Times New Roman" w:hAnsi="Century" w:cs="Times New Roman"/>
          <w:lang w:val="es-UY"/>
        </w:rPr>
        <w:t xml:space="preserve"> RD$</w:t>
      </w:r>
      <w:r w:rsidR="00AF20E6" w:rsidRPr="00C55FB2">
        <w:rPr>
          <w:rFonts w:ascii="Century" w:eastAsia="Times New Roman" w:hAnsi="Century" w:cs="Times New Roman"/>
          <w:lang w:val="es-UY"/>
        </w:rPr>
        <w:t>5,875,119.58</w:t>
      </w:r>
      <w:r w:rsidRPr="00C55FB2">
        <w:rPr>
          <w:rFonts w:ascii="Century" w:eastAsia="Times New Roman" w:hAnsi="Century" w:cs="Times New Roman"/>
          <w:lang w:val="es-UY"/>
        </w:rPr>
        <w:t>, respectivamente según el siguiente detalle:</w:t>
      </w:r>
    </w:p>
    <w:p w:rsidR="00722944" w:rsidRPr="00C55FB2" w:rsidRDefault="00722944" w:rsidP="00722944">
      <w:pPr>
        <w:spacing w:after="0"/>
        <w:jc w:val="both"/>
        <w:rPr>
          <w:rFonts w:ascii="Century" w:eastAsia="Times New Roman" w:hAnsi="Century" w:cs="Times New Roman"/>
          <w:b/>
          <w:lang w:val="es-UY"/>
        </w:rPr>
      </w:pPr>
    </w:p>
    <w:tbl>
      <w:tblPr>
        <w:tblW w:w="9162" w:type="dxa"/>
        <w:tblLayout w:type="fixed"/>
        <w:tblCellMar>
          <w:left w:w="0" w:type="dxa"/>
          <w:right w:w="0" w:type="dxa"/>
        </w:tblCellMar>
        <w:tblLook w:val="0000" w:firstRow="0" w:lastRow="0" w:firstColumn="0" w:lastColumn="0" w:noHBand="0" w:noVBand="0"/>
      </w:tblPr>
      <w:tblGrid>
        <w:gridCol w:w="15"/>
        <w:gridCol w:w="5565"/>
        <w:gridCol w:w="15"/>
        <w:gridCol w:w="1605"/>
        <w:gridCol w:w="15"/>
        <w:gridCol w:w="300"/>
        <w:gridCol w:w="1647"/>
      </w:tblGrid>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b/>
              </w:rPr>
            </w:pPr>
            <w:r w:rsidRPr="00C55FB2">
              <w:rPr>
                <w:rFonts w:ascii="Century" w:eastAsia="Times New Roman" w:hAnsi="Century" w:cs="Times New Roman"/>
                <w:b/>
              </w:rPr>
              <w:t xml:space="preserve">DESCRIPCION </w:t>
            </w:r>
          </w:p>
        </w:tc>
        <w:tc>
          <w:tcPr>
            <w:tcW w:w="1620"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right"/>
              <w:rPr>
                <w:rFonts w:ascii="Century" w:eastAsia="Arial Unicode MS" w:hAnsi="Century" w:cs="Times New Roman"/>
                <w:b/>
                <w:sz w:val="16"/>
                <w:szCs w:val="17"/>
              </w:rPr>
            </w:pPr>
            <w:r w:rsidRPr="00C55FB2">
              <w:rPr>
                <w:rFonts w:ascii="Century" w:eastAsia="Arial Unicode MS" w:hAnsi="Century" w:cs="Times New Roman"/>
                <w:b/>
                <w:sz w:val="16"/>
                <w:szCs w:val="17"/>
              </w:rPr>
              <w:t>2018</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b/>
                <w:sz w:val="16"/>
                <w:szCs w:val="17"/>
              </w:rPr>
            </w:pPr>
          </w:p>
        </w:tc>
        <w:tc>
          <w:tcPr>
            <w:tcW w:w="1647" w:type="dxa"/>
            <w:vAlign w:val="bottom"/>
          </w:tcPr>
          <w:p w:rsidR="00722944" w:rsidRPr="00C55FB2" w:rsidRDefault="00722944" w:rsidP="00722944">
            <w:pPr>
              <w:spacing w:after="0" w:line="240" w:lineRule="auto"/>
              <w:ind w:right="42"/>
              <w:jc w:val="right"/>
              <w:rPr>
                <w:rFonts w:ascii="Century" w:eastAsia="Arial Unicode MS" w:hAnsi="Century" w:cs="Times New Roman"/>
                <w:b/>
                <w:sz w:val="16"/>
                <w:szCs w:val="17"/>
              </w:rPr>
            </w:pPr>
            <w:r w:rsidRPr="00C55FB2">
              <w:rPr>
                <w:rFonts w:ascii="Century" w:eastAsia="Arial Unicode MS" w:hAnsi="Century" w:cs="Times New Roman"/>
                <w:b/>
                <w:sz w:val="16"/>
                <w:szCs w:val="17"/>
              </w:rPr>
              <w:t>2017</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 xml:space="preserve">Maquinaria y Equipos </w:t>
            </w:r>
          </w:p>
        </w:tc>
        <w:tc>
          <w:tcPr>
            <w:tcW w:w="1620" w:type="dxa"/>
            <w:gridSpan w:val="2"/>
            <w:noWrap/>
            <w:tcMar>
              <w:top w:w="0" w:type="dxa"/>
              <w:left w:w="15" w:type="dxa"/>
              <w:bottom w:w="0" w:type="dxa"/>
              <w:right w:w="15" w:type="dxa"/>
            </w:tcMar>
            <w:vAlign w:val="bottom"/>
          </w:tcPr>
          <w:p w:rsidR="00722944" w:rsidRPr="00C55FB2" w:rsidRDefault="00966781" w:rsidP="00966781">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23,805,923.15</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C55FB2" w:rsidRDefault="00AF20E6" w:rsidP="001D491E">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9,143,009.06</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Depreciación acumulada Maquinarias y Equipos</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C55FB2" w:rsidRDefault="00966781" w:rsidP="00801A55">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19,261,097.34</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C55FB2" w:rsidRDefault="00C31FE9" w:rsidP="00986C7C">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w:t>
            </w:r>
            <w:r w:rsidR="00AF20E6" w:rsidRPr="00C55FB2">
              <w:rPr>
                <w:rFonts w:ascii="Century" w:eastAsia="Arial Unicode MS" w:hAnsi="Century" w:cs="Times New Roman"/>
                <w:sz w:val="16"/>
                <w:szCs w:val="17"/>
              </w:rPr>
              <w:t>4,667,889.48</w:t>
            </w:r>
            <w:r w:rsidR="00722944" w:rsidRPr="00C55FB2">
              <w:rPr>
                <w:rFonts w:ascii="Century" w:eastAsia="Arial Unicode MS" w:hAnsi="Century" w:cs="Times New Roman"/>
                <w:sz w:val="16"/>
                <w:szCs w:val="17"/>
              </w:rPr>
              <w:t>)</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Maquinaria y Equipos netos</w:t>
            </w:r>
          </w:p>
        </w:tc>
        <w:tc>
          <w:tcPr>
            <w:tcW w:w="1620" w:type="dxa"/>
            <w:gridSpan w:val="2"/>
            <w:tcBorders>
              <w:top w:val="dotted" w:sz="4" w:space="0" w:color="auto"/>
            </w:tcBorders>
            <w:noWrap/>
            <w:tcMar>
              <w:top w:w="0" w:type="dxa"/>
              <w:left w:w="15" w:type="dxa"/>
              <w:bottom w:w="0" w:type="dxa"/>
              <w:right w:w="15" w:type="dxa"/>
            </w:tcMar>
            <w:vAlign w:val="bottom"/>
          </w:tcPr>
          <w:p w:rsidR="00722944" w:rsidRPr="00C55FB2" w:rsidRDefault="00966781" w:rsidP="00722944">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4,544,825.81</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C55FB2" w:rsidRDefault="00AF20E6" w:rsidP="00C31FE9">
            <w:pPr>
              <w:spacing w:after="0" w:line="240" w:lineRule="auto"/>
              <w:ind w:right="42"/>
              <w:jc w:val="right"/>
              <w:rPr>
                <w:rFonts w:ascii="Century" w:eastAsia="Arial Unicode MS" w:hAnsi="Century" w:cs="Times New Roman"/>
                <w:b/>
                <w:sz w:val="16"/>
                <w:szCs w:val="17"/>
              </w:rPr>
            </w:pPr>
            <w:r w:rsidRPr="00C55FB2">
              <w:rPr>
                <w:rFonts w:ascii="Century" w:eastAsia="Arial Unicode MS" w:hAnsi="Century" w:cs="Times New Roman"/>
                <w:b/>
                <w:sz w:val="16"/>
                <w:szCs w:val="17"/>
              </w:rPr>
              <w:t>4,47</w:t>
            </w:r>
            <w:r w:rsidR="00C31FE9" w:rsidRPr="00C55FB2">
              <w:rPr>
                <w:rFonts w:ascii="Century" w:eastAsia="Arial Unicode MS" w:hAnsi="Century" w:cs="Times New Roman"/>
                <w:b/>
                <w:sz w:val="16"/>
                <w:szCs w:val="17"/>
              </w:rPr>
              <w:t>5,</w:t>
            </w:r>
            <w:r w:rsidRPr="00C55FB2">
              <w:rPr>
                <w:rFonts w:ascii="Century" w:eastAsia="Arial Unicode MS" w:hAnsi="Century" w:cs="Times New Roman"/>
                <w:b/>
                <w:sz w:val="16"/>
                <w:szCs w:val="17"/>
              </w:rPr>
              <w:t>119.58</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Terreno</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C55FB2" w:rsidRDefault="00966781" w:rsidP="00722944">
            <w:pPr>
              <w:spacing w:after="0" w:line="240" w:lineRule="auto"/>
              <w:ind w:right="42"/>
              <w:jc w:val="right"/>
              <w:rPr>
                <w:rFonts w:ascii="Century" w:eastAsia="Arial Unicode MS" w:hAnsi="Century" w:cs="Times New Roman"/>
                <w:sz w:val="16"/>
                <w:szCs w:val="17"/>
                <w:u w:val="single"/>
              </w:rPr>
            </w:pPr>
            <w:r w:rsidRPr="00C55FB2">
              <w:rPr>
                <w:rFonts w:ascii="Century" w:eastAsia="Arial Unicode MS" w:hAnsi="Century" w:cs="Times New Roman"/>
                <w:sz w:val="16"/>
                <w:szCs w:val="17"/>
                <w:u w:val="single"/>
              </w:rPr>
              <w:t>1,400,000.00</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C55FB2" w:rsidRDefault="00722944" w:rsidP="00722944">
            <w:pPr>
              <w:spacing w:after="0" w:line="240" w:lineRule="auto"/>
              <w:ind w:right="42"/>
              <w:jc w:val="right"/>
              <w:rPr>
                <w:rFonts w:ascii="Century" w:eastAsia="Arial Unicode MS" w:hAnsi="Century" w:cs="Times New Roman"/>
                <w:sz w:val="16"/>
                <w:szCs w:val="17"/>
              </w:rPr>
            </w:pPr>
            <w:r w:rsidRPr="00C55FB2">
              <w:rPr>
                <w:rFonts w:ascii="Century" w:eastAsia="Arial Unicode MS" w:hAnsi="Century" w:cs="Times New Roman"/>
                <w:sz w:val="16"/>
                <w:szCs w:val="17"/>
              </w:rPr>
              <w:t>1,400,000.00</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Total Bienes de Uso Neto</w:t>
            </w:r>
          </w:p>
        </w:tc>
        <w:tc>
          <w:tcPr>
            <w:tcW w:w="1620" w:type="dxa"/>
            <w:gridSpan w:val="2"/>
            <w:tcBorders>
              <w:top w:val="dotted" w:sz="4" w:space="0" w:color="auto"/>
            </w:tcBorders>
            <w:noWrap/>
            <w:tcMar>
              <w:top w:w="0" w:type="dxa"/>
              <w:left w:w="15" w:type="dxa"/>
              <w:bottom w:w="0" w:type="dxa"/>
              <w:right w:w="15" w:type="dxa"/>
            </w:tcMar>
            <w:vAlign w:val="bottom"/>
          </w:tcPr>
          <w:p w:rsidR="00722944" w:rsidRPr="00C55FB2" w:rsidRDefault="00966781" w:rsidP="00722944">
            <w:pPr>
              <w:spacing w:after="0" w:line="240" w:lineRule="auto"/>
              <w:ind w:right="42"/>
              <w:jc w:val="right"/>
              <w:rPr>
                <w:rFonts w:ascii="Century" w:eastAsia="Arial Unicode MS" w:hAnsi="Century" w:cs="Times New Roman"/>
                <w:sz w:val="16"/>
                <w:szCs w:val="17"/>
                <w:u w:val="double"/>
              </w:rPr>
            </w:pPr>
            <w:r w:rsidRPr="00C55FB2">
              <w:rPr>
                <w:rFonts w:ascii="Century" w:eastAsia="Arial Unicode MS" w:hAnsi="Century" w:cs="Times New Roman"/>
                <w:sz w:val="16"/>
                <w:szCs w:val="17"/>
                <w:u w:val="double"/>
              </w:rPr>
              <w:t>5,944,825.81</w:t>
            </w: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C55FB2" w:rsidRDefault="00AF20E6" w:rsidP="00722944">
            <w:pPr>
              <w:spacing w:after="0" w:line="240" w:lineRule="auto"/>
              <w:ind w:right="42"/>
              <w:jc w:val="right"/>
              <w:rPr>
                <w:rFonts w:ascii="Century" w:eastAsia="Arial Unicode MS" w:hAnsi="Century" w:cs="Times New Roman"/>
                <w:b/>
                <w:sz w:val="16"/>
                <w:szCs w:val="17"/>
                <w:u w:val="double"/>
              </w:rPr>
            </w:pPr>
            <w:r w:rsidRPr="00C55FB2">
              <w:rPr>
                <w:rFonts w:ascii="Century" w:eastAsia="Arial Unicode MS" w:hAnsi="Century" w:cs="Times New Roman"/>
                <w:b/>
                <w:sz w:val="16"/>
                <w:szCs w:val="17"/>
                <w:u w:val="double"/>
              </w:rPr>
              <w:t>5,875,119.58</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p>
          <w:p w:rsidR="00722944" w:rsidRPr="00C55FB2" w:rsidRDefault="00722944" w:rsidP="00722944">
            <w:pPr>
              <w:spacing w:after="0" w:line="240" w:lineRule="auto"/>
              <w:jc w:val="both"/>
              <w:rPr>
                <w:rFonts w:ascii="Century" w:eastAsia="Times New Roman" w:hAnsi="Century" w:cs="Times New Roman"/>
                <w:sz w:val="16"/>
                <w:szCs w:val="16"/>
              </w:rPr>
            </w:pPr>
          </w:p>
          <w:p w:rsidR="00722944" w:rsidRPr="00C55FB2" w:rsidRDefault="00722944" w:rsidP="00722944">
            <w:pPr>
              <w:spacing w:after="0" w:line="240" w:lineRule="auto"/>
              <w:jc w:val="both"/>
              <w:rPr>
                <w:rFonts w:ascii="Century" w:eastAsia="Arial Unicode MS" w:hAnsi="Century" w:cs="Times New Roman"/>
                <w:sz w:val="16"/>
                <w:szCs w:val="17"/>
              </w:rPr>
            </w:pPr>
            <w:r w:rsidRPr="00C55FB2">
              <w:rPr>
                <w:rFonts w:ascii="Century" w:eastAsia="Times New Roman" w:hAnsi="Century" w:cs="Times New Roman"/>
                <w:sz w:val="16"/>
                <w:szCs w:val="16"/>
              </w:rPr>
              <w:t>Terrenos *</w:t>
            </w:r>
          </w:p>
        </w:tc>
        <w:tc>
          <w:tcPr>
            <w:tcW w:w="1620"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C55FB2" w:rsidRDefault="00FB7F9B" w:rsidP="00722944">
            <w:pPr>
              <w:spacing w:after="0" w:line="240" w:lineRule="auto"/>
              <w:ind w:right="42"/>
              <w:jc w:val="both"/>
              <w:rPr>
                <w:rFonts w:ascii="Century" w:eastAsia="Arial Unicode MS" w:hAnsi="Century" w:cs="Times New Roman"/>
                <w:sz w:val="16"/>
                <w:szCs w:val="17"/>
              </w:rPr>
            </w:pPr>
            <w:r w:rsidRPr="00C55FB2">
              <w:rPr>
                <w:rFonts w:ascii="Century" w:eastAsia="Arial Unicode MS" w:hAnsi="Century" w:cs="Times New Roman"/>
                <w:sz w:val="16"/>
                <w:szCs w:val="17"/>
              </w:rPr>
              <w:t xml:space="preserve">        31,836,665.00</w:t>
            </w:r>
          </w:p>
        </w:tc>
      </w:tr>
      <w:tr w:rsidR="00722944" w:rsidRPr="00C55FB2" w:rsidTr="00F30DC6">
        <w:trPr>
          <w:trHeight w:val="255"/>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Times New Roman" w:hAnsi="Century" w:cs="Times New Roman"/>
                <w:sz w:val="16"/>
                <w:szCs w:val="16"/>
              </w:rPr>
            </w:pPr>
          </w:p>
        </w:tc>
        <w:tc>
          <w:tcPr>
            <w:tcW w:w="1620"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C55FB2" w:rsidRDefault="00BA7F70" w:rsidP="00722944">
            <w:pPr>
              <w:spacing w:after="0" w:line="240" w:lineRule="auto"/>
              <w:ind w:right="42"/>
              <w:jc w:val="both"/>
              <w:rPr>
                <w:rFonts w:ascii="Century" w:eastAsia="Arial Unicode MS" w:hAnsi="Century" w:cs="Times New Roman"/>
                <w:sz w:val="16"/>
                <w:szCs w:val="17"/>
              </w:rPr>
            </w:pPr>
            <w:r w:rsidRPr="00C55FB2">
              <w:rPr>
                <w:rFonts w:ascii="Century" w:eastAsia="Arial Unicode MS" w:hAnsi="Century" w:cs="Times New Roman"/>
                <w:sz w:val="16"/>
                <w:szCs w:val="17"/>
              </w:rPr>
              <w:t xml:space="preserve">        7,851,459.00</w:t>
            </w:r>
          </w:p>
        </w:tc>
      </w:tr>
      <w:tr w:rsidR="00722944" w:rsidRPr="00C55FB2"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722944" w:rsidRPr="00C55FB2" w:rsidRDefault="00722944" w:rsidP="00722944">
            <w:pPr>
              <w:spacing w:after="0" w:line="240" w:lineRule="auto"/>
              <w:jc w:val="both"/>
              <w:rPr>
                <w:rFonts w:ascii="Century" w:eastAsia="Arial Unicode MS" w:hAnsi="Century" w:cs="Times New Roman"/>
                <w:sz w:val="16"/>
                <w:szCs w:val="17"/>
              </w:rPr>
            </w:pPr>
            <w:r w:rsidRPr="00C55FB2">
              <w:rPr>
                <w:rFonts w:ascii="Century" w:eastAsia="Times New Roman" w:hAnsi="Century" w:cs="Times New Roman"/>
                <w:bCs/>
                <w:sz w:val="16"/>
                <w:szCs w:val="16"/>
              </w:rPr>
              <w:t xml:space="preserve">Construcciones y Mejoras Sujetas a Conciliación </w:t>
            </w:r>
            <w:r w:rsidR="00FB7F9B" w:rsidRPr="00C55FB2">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722944" w:rsidRPr="00C55FB2" w:rsidRDefault="00722944" w:rsidP="00722944">
            <w:pPr>
              <w:spacing w:after="0" w:line="240" w:lineRule="auto"/>
              <w:ind w:right="42"/>
              <w:jc w:val="both"/>
              <w:rPr>
                <w:rFonts w:ascii="Century" w:eastAsia="Arial Unicode MS" w:hAnsi="Century" w:cs="Times New Roman"/>
                <w:sz w:val="16"/>
                <w:szCs w:val="17"/>
              </w:rPr>
            </w:pPr>
          </w:p>
        </w:tc>
      </w:tr>
      <w:tr w:rsidR="00FB7F9B" w:rsidRPr="00C55FB2"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FB7F9B" w:rsidRPr="00C55FB2" w:rsidRDefault="00BA7F70"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FB7F9B" w:rsidRPr="00C55FB2" w:rsidRDefault="00FB7F9B" w:rsidP="00722944">
            <w:pPr>
              <w:spacing w:after="0" w:line="240" w:lineRule="auto"/>
              <w:ind w:right="42"/>
              <w:jc w:val="both"/>
              <w:rPr>
                <w:rFonts w:ascii="Century" w:eastAsia="Arial Unicode MS" w:hAnsi="Century" w:cs="Times New Roman"/>
                <w:sz w:val="16"/>
                <w:szCs w:val="17"/>
              </w:rPr>
            </w:pPr>
          </w:p>
        </w:tc>
      </w:tr>
    </w:tbl>
    <w:p w:rsidR="00722944" w:rsidRPr="00C55FB2" w:rsidRDefault="00FB7F9B" w:rsidP="00722944">
      <w:pPr>
        <w:spacing w:after="0" w:line="360" w:lineRule="auto"/>
        <w:jc w:val="both"/>
        <w:rPr>
          <w:rFonts w:ascii="Century" w:eastAsia="Times New Roman" w:hAnsi="Century" w:cs="Times New Roman"/>
          <w:bCs/>
        </w:rPr>
      </w:pPr>
      <w:r w:rsidRPr="00C55FB2">
        <w:rPr>
          <w:rFonts w:ascii="Century" w:eastAsia="Times New Roman" w:hAnsi="Century" w:cs="Times New Roman"/>
          <w:bCs/>
        </w:rPr>
        <w:t xml:space="preserve">   </w:t>
      </w:r>
      <w:r w:rsidR="00722944" w:rsidRPr="00C55FB2">
        <w:rPr>
          <w:rFonts w:ascii="Century" w:eastAsia="Times New Roman" w:hAnsi="Century" w:cs="Times New Roman"/>
          <w:bCs/>
        </w:rPr>
        <w:t xml:space="preserve">El monto </w:t>
      </w:r>
      <w:r w:rsidR="004709D5" w:rsidRPr="00C55FB2">
        <w:rPr>
          <w:rFonts w:ascii="Century" w:eastAsia="Times New Roman" w:hAnsi="Century" w:cs="Times New Roman"/>
          <w:bCs/>
        </w:rPr>
        <w:t>Neto</w:t>
      </w:r>
      <w:r w:rsidR="00722944" w:rsidRPr="00C55FB2">
        <w:rPr>
          <w:rFonts w:ascii="Century" w:eastAsia="Times New Roman" w:hAnsi="Century" w:cs="Times New Roman"/>
          <w:bCs/>
        </w:rPr>
        <w:t xml:space="preserve"> de los Bienes en Uso se </w:t>
      </w:r>
      <w:r w:rsidR="00EB26BF" w:rsidRPr="00C55FB2">
        <w:rPr>
          <w:rFonts w:ascii="Century" w:eastAsia="Times New Roman" w:hAnsi="Century" w:cs="Times New Roman"/>
          <w:bCs/>
        </w:rPr>
        <w:t>incrementó</w:t>
      </w:r>
      <w:r w:rsidR="00722944" w:rsidRPr="00C55FB2">
        <w:rPr>
          <w:rFonts w:ascii="Century" w:eastAsia="Times New Roman" w:hAnsi="Century" w:cs="Times New Roman"/>
          <w:bCs/>
        </w:rPr>
        <w:t xml:space="preserve"> al </w:t>
      </w:r>
      <w:r w:rsidR="001D491E" w:rsidRPr="00C55FB2">
        <w:rPr>
          <w:rFonts w:ascii="Century" w:eastAsia="Times New Roman" w:hAnsi="Century" w:cs="Times New Roman"/>
          <w:bCs/>
        </w:rPr>
        <w:t>3</w:t>
      </w:r>
      <w:r w:rsidR="00D908F0" w:rsidRPr="00C55FB2">
        <w:rPr>
          <w:rFonts w:ascii="Century" w:eastAsia="Times New Roman" w:hAnsi="Century" w:cs="Times New Roman"/>
          <w:bCs/>
        </w:rPr>
        <w:t>0</w:t>
      </w:r>
      <w:r w:rsidR="005B48C3" w:rsidRPr="00C55FB2">
        <w:rPr>
          <w:rFonts w:ascii="Century" w:eastAsia="Times New Roman" w:hAnsi="Century" w:cs="Times New Roman"/>
          <w:bCs/>
        </w:rPr>
        <w:t>.</w:t>
      </w:r>
      <w:r w:rsidR="00D908F0" w:rsidRPr="00C55FB2">
        <w:rPr>
          <w:rFonts w:ascii="Century" w:eastAsia="Times New Roman" w:hAnsi="Century" w:cs="Times New Roman"/>
          <w:bCs/>
        </w:rPr>
        <w:t>09</w:t>
      </w:r>
      <w:r w:rsidR="00C90604" w:rsidRPr="00C55FB2">
        <w:rPr>
          <w:rFonts w:ascii="Century" w:eastAsia="Times New Roman" w:hAnsi="Century" w:cs="Times New Roman"/>
          <w:bCs/>
        </w:rPr>
        <w:t>.</w:t>
      </w:r>
      <w:r w:rsidR="00722944" w:rsidRPr="00C55FB2">
        <w:rPr>
          <w:rFonts w:ascii="Century" w:eastAsia="Times New Roman" w:hAnsi="Century" w:cs="Times New Roman"/>
          <w:bCs/>
        </w:rPr>
        <w:t>2018 con relación al ejercicio anterior  por un monto de RD$</w:t>
      </w:r>
      <w:r w:rsidR="00D908F0" w:rsidRPr="00C55FB2">
        <w:rPr>
          <w:rFonts w:ascii="Century" w:eastAsia="Times New Roman" w:hAnsi="Century" w:cs="Times New Roman"/>
          <w:bCs/>
        </w:rPr>
        <w:t>69,706.23</w:t>
      </w:r>
      <w:r w:rsidR="003455D1" w:rsidRPr="00C55FB2">
        <w:rPr>
          <w:rFonts w:ascii="Century" w:eastAsia="Times New Roman" w:hAnsi="Century" w:cs="Times New Roman"/>
          <w:bCs/>
        </w:rPr>
        <w:t xml:space="preserve"> </w:t>
      </w:r>
    </w:p>
    <w:p w:rsidR="00722944" w:rsidRPr="00C55FB2"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t>*</w:t>
      </w:r>
      <w:r w:rsidR="00037D5E" w:rsidRPr="00C55FB2">
        <w:rPr>
          <w:rFonts w:ascii="Century" w:eastAsia="Times New Roman" w:hAnsi="Century" w:cs="Times New Roman"/>
          <w:bCs/>
        </w:rPr>
        <w:t>Actualmente poseemos un</w:t>
      </w:r>
      <w:r w:rsidR="00BA7F70" w:rsidRPr="00C55FB2">
        <w:rPr>
          <w:rFonts w:ascii="Century" w:eastAsia="Times New Roman" w:hAnsi="Century" w:cs="Times New Roman"/>
          <w:bCs/>
        </w:rPr>
        <w:t xml:space="preserve"> monto de RD$31</w:t>
      </w:r>
      <w:proofErr w:type="gramStart"/>
      <w:r w:rsidR="00BA7F70" w:rsidRPr="00C55FB2">
        <w:rPr>
          <w:rFonts w:ascii="Century" w:eastAsia="Times New Roman" w:hAnsi="Century" w:cs="Times New Roman"/>
          <w:bCs/>
        </w:rPr>
        <w:t>,</w:t>
      </w:r>
      <w:r w:rsidRPr="00C55FB2">
        <w:rPr>
          <w:rFonts w:ascii="Century" w:eastAsia="Times New Roman" w:hAnsi="Century" w:cs="Times New Roman"/>
          <w:bCs/>
        </w:rPr>
        <w:t>8</w:t>
      </w:r>
      <w:r w:rsidR="00BA7F70" w:rsidRPr="00C55FB2">
        <w:rPr>
          <w:rFonts w:ascii="Century" w:eastAsia="Times New Roman" w:hAnsi="Century" w:cs="Times New Roman"/>
          <w:bCs/>
        </w:rPr>
        <w:t>36,665.00</w:t>
      </w:r>
      <w:proofErr w:type="gramEnd"/>
      <w:r w:rsidR="00BA7F70" w:rsidRPr="00C55FB2">
        <w:rPr>
          <w:rFonts w:ascii="Century" w:eastAsia="Times New Roman" w:hAnsi="Century" w:cs="Times New Roman"/>
          <w:bCs/>
        </w:rPr>
        <w:t xml:space="preserve"> de los terrenos RD$1,</w:t>
      </w:r>
      <w:r w:rsidRPr="00C55FB2">
        <w:rPr>
          <w:rFonts w:ascii="Century" w:eastAsia="Times New Roman" w:hAnsi="Century" w:cs="Times New Roman"/>
          <w:bCs/>
        </w:rPr>
        <w:t>4</w:t>
      </w:r>
      <w:r w:rsidR="00BA7F70" w:rsidRPr="00C55FB2">
        <w:rPr>
          <w:rFonts w:ascii="Century" w:eastAsia="Times New Roman" w:hAnsi="Century" w:cs="Times New Roman"/>
          <w:bCs/>
        </w:rPr>
        <w:t>00,000.00 es Propio y el RD$30,</w:t>
      </w:r>
      <w:r w:rsidRPr="00C55FB2">
        <w:rPr>
          <w:rFonts w:ascii="Century" w:eastAsia="Times New Roman" w:hAnsi="Century" w:cs="Times New Roman"/>
          <w:bCs/>
        </w:rPr>
        <w:t xml:space="preserve">436,665.00 es Patrimonio del Estado Dominicano usufructuado por el </w:t>
      </w:r>
      <w:r w:rsidR="0020507D" w:rsidRPr="00C55FB2">
        <w:rPr>
          <w:rFonts w:ascii="Century" w:eastAsia="Times New Roman" w:hAnsi="Century" w:cs="Times New Roman"/>
          <w:bCs/>
        </w:rPr>
        <w:t>Instituto</w:t>
      </w:r>
      <w:r w:rsidRPr="00C55FB2">
        <w:rPr>
          <w:rFonts w:ascii="Century" w:eastAsia="Times New Roman" w:hAnsi="Century" w:cs="Times New Roman"/>
          <w:bCs/>
        </w:rPr>
        <w:t xml:space="preserve"> Dominicano del Café.</w:t>
      </w:r>
    </w:p>
    <w:p w:rsidR="00722944" w:rsidRPr="00C55FB2" w:rsidRDefault="00722944" w:rsidP="00722944">
      <w:pPr>
        <w:spacing w:after="0"/>
        <w:jc w:val="both"/>
        <w:rPr>
          <w:rFonts w:ascii="Century" w:eastAsia="Times New Roman" w:hAnsi="Century" w:cs="Times New Roman"/>
          <w:bCs/>
        </w:rPr>
      </w:pPr>
    </w:p>
    <w:p w:rsidR="00722944" w:rsidRPr="00C55FB2"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t>*</w:t>
      </w:r>
      <w:r w:rsidR="004275C5" w:rsidRPr="00C55FB2">
        <w:rPr>
          <w:rFonts w:ascii="Century" w:eastAsia="Times New Roman" w:hAnsi="Century" w:cs="Times New Roman"/>
          <w:bCs/>
        </w:rPr>
        <w:t>También</w:t>
      </w:r>
      <w:r w:rsidR="00037D5E" w:rsidRPr="00C55FB2">
        <w:rPr>
          <w:rFonts w:ascii="Century" w:eastAsia="Times New Roman" w:hAnsi="Century" w:cs="Times New Roman"/>
          <w:bCs/>
        </w:rPr>
        <w:t xml:space="preserve"> poseemos un</w:t>
      </w:r>
      <w:r w:rsidRPr="00C55FB2">
        <w:rPr>
          <w:rFonts w:ascii="Century" w:eastAsia="Times New Roman" w:hAnsi="Century" w:cs="Times New Roman"/>
          <w:bCs/>
        </w:rPr>
        <w:t xml:space="preserve"> Edificio </w:t>
      </w:r>
      <w:r w:rsidR="004275C5" w:rsidRPr="00C55FB2">
        <w:rPr>
          <w:rFonts w:ascii="Century" w:eastAsia="Times New Roman" w:hAnsi="Century" w:cs="Times New Roman"/>
          <w:bCs/>
        </w:rPr>
        <w:t>el cual es</w:t>
      </w:r>
      <w:r w:rsidRPr="00C55FB2">
        <w:rPr>
          <w:rFonts w:ascii="Century" w:eastAsia="Times New Roman" w:hAnsi="Century" w:cs="Times New Roman"/>
          <w:bCs/>
        </w:rPr>
        <w:t xml:space="preserve"> Patrimonio del Estado Dominicano, usufructuado por el </w:t>
      </w:r>
      <w:r w:rsidR="00456A39" w:rsidRPr="00C55FB2">
        <w:rPr>
          <w:rFonts w:ascii="Century" w:eastAsia="Times New Roman" w:hAnsi="Century" w:cs="Times New Roman"/>
          <w:bCs/>
        </w:rPr>
        <w:t>Institución</w:t>
      </w:r>
      <w:r w:rsidRPr="00C55FB2">
        <w:rPr>
          <w:rFonts w:ascii="Century" w:eastAsia="Times New Roman" w:hAnsi="Century" w:cs="Times New Roman"/>
          <w:bCs/>
        </w:rPr>
        <w:t xml:space="preserve"> Dominica</w:t>
      </w:r>
      <w:r w:rsidR="00BA7F70" w:rsidRPr="00C55FB2">
        <w:rPr>
          <w:rFonts w:ascii="Century" w:eastAsia="Times New Roman" w:hAnsi="Century" w:cs="Times New Roman"/>
          <w:bCs/>
        </w:rPr>
        <w:t>no del Café, por un monto de 4</w:t>
      </w:r>
      <w:proofErr w:type="gramStart"/>
      <w:r w:rsidR="00BA7F70" w:rsidRPr="00C55FB2">
        <w:rPr>
          <w:rFonts w:ascii="Century" w:eastAsia="Times New Roman" w:hAnsi="Century" w:cs="Times New Roman"/>
          <w:bCs/>
        </w:rPr>
        <w:t>,241,046.00</w:t>
      </w:r>
      <w:proofErr w:type="gramEnd"/>
      <w:r w:rsidRPr="00C55FB2">
        <w:rPr>
          <w:rFonts w:ascii="Century" w:eastAsia="Times New Roman" w:hAnsi="Century" w:cs="Times New Roman"/>
          <w:bCs/>
        </w:rPr>
        <w:t>.</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722944" w:rsidRPr="00C55FB2" w:rsidTr="00F30DC6">
        <w:trPr>
          <w:trHeight w:val="255"/>
        </w:trPr>
        <w:tc>
          <w:tcPr>
            <w:tcW w:w="1647" w:type="dxa"/>
            <w:vAlign w:val="bottom"/>
          </w:tcPr>
          <w:p w:rsidR="00722944" w:rsidRPr="00C55FB2" w:rsidRDefault="00722944" w:rsidP="00722944">
            <w:pPr>
              <w:spacing w:after="0"/>
              <w:ind w:right="42"/>
              <w:jc w:val="both"/>
              <w:rPr>
                <w:rFonts w:ascii="Century" w:eastAsia="Arial Unicode MS" w:hAnsi="Century" w:cs="Times New Roman"/>
                <w:sz w:val="16"/>
                <w:szCs w:val="17"/>
              </w:rPr>
            </w:pPr>
          </w:p>
        </w:tc>
      </w:tr>
    </w:tbl>
    <w:p w:rsidR="00722944" w:rsidRPr="00C55FB2" w:rsidRDefault="004275C5" w:rsidP="00722944">
      <w:pPr>
        <w:spacing w:after="0"/>
        <w:jc w:val="both"/>
        <w:rPr>
          <w:rFonts w:ascii="Century" w:eastAsia="Times New Roman" w:hAnsi="Century" w:cs="Times New Roman"/>
          <w:bCs/>
        </w:rPr>
      </w:pPr>
      <w:r w:rsidRPr="00C55FB2">
        <w:rPr>
          <w:rFonts w:ascii="Century" w:eastAsia="Times New Roman" w:hAnsi="Century" w:cs="Times New Roman"/>
          <w:bCs/>
        </w:rPr>
        <w:t>Poseemos una Mejora en un Local Alquilado</w:t>
      </w:r>
      <w:r w:rsidR="00BA7F70" w:rsidRPr="00C55FB2">
        <w:rPr>
          <w:rFonts w:ascii="Century" w:eastAsia="Times New Roman" w:hAnsi="Century" w:cs="Times New Roman"/>
          <w:bCs/>
        </w:rPr>
        <w:t xml:space="preserve"> (7</w:t>
      </w:r>
      <w:proofErr w:type="gramStart"/>
      <w:r w:rsidR="00BA7F70" w:rsidRPr="00C55FB2">
        <w:rPr>
          <w:rFonts w:ascii="Century" w:eastAsia="Times New Roman" w:hAnsi="Century" w:cs="Times New Roman"/>
          <w:bCs/>
        </w:rPr>
        <w:t>,</w:t>
      </w:r>
      <w:r w:rsidR="00722944" w:rsidRPr="00C55FB2">
        <w:rPr>
          <w:rFonts w:ascii="Century" w:eastAsia="Times New Roman" w:hAnsi="Century" w:cs="Times New Roman"/>
          <w:bCs/>
        </w:rPr>
        <w:t>851,459.00</w:t>
      </w:r>
      <w:proofErr w:type="gramEnd"/>
      <w:r w:rsidR="00722944" w:rsidRPr="00C55FB2">
        <w:rPr>
          <w:rFonts w:ascii="Century" w:eastAsia="Times New Roman" w:hAnsi="Century" w:cs="Times New Roman"/>
          <w:bCs/>
        </w:rPr>
        <w:t>) de la cuenta Construcciones y Mejoras</w:t>
      </w:r>
      <w:r w:rsidRPr="00C55FB2">
        <w:rPr>
          <w:rFonts w:ascii="Century" w:eastAsia="Times New Roman" w:hAnsi="Century" w:cs="Times New Roman"/>
          <w:bCs/>
        </w:rPr>
        <w:t>, en donde se aloja la Oficina Principal.</w:t>
      </w:r>
    </w:p>
    <w:p w:rsidR="004275C5" w:rsidRPr="00C55FB2" w:rsidRDefault="004275C5" w:rsidP="00722944">
      <w:pPr>
        <w:spacing w:after="0"/>
        <w:jc w:val="both"/>
        <w:rPr>
          <w:rFonts w:ascii="Century" w:eastAsia="Times New Roman" w:hAnsi="Century" w:cs="Times New Roman"/>
          <w:b/>
          <w:color w:val="FF00FF"/>
        </w:rPr>
      </w:pPr>
    </w:p>
    <w:p w:rsidR="00722944" w:rsidRPr="00C55FB2"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p>
    <w:p w:rsidR="00722944" w:rsidRPr="00C55FB2" w:rsidRDefault="00722944" w:rsidP="00722944">
      <w:pPr>
        <w:keepNext/>
        <w:suppressAutoHyphens/>
        <w:spacing w:after="0"/>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 xml:space="preserve">Nota </w:t>
      </w:r>
      <w:r w:rsidR="005619FB" w:rsidRPr="00C55FB2">
        <w:rPr>
          <w:rFonts w:ascii="Century" w:eastAsia="Times New Roman" w:hAnsi="Century" w:cs="Times New Roman"/>
          <w:b/>
          <w:bCs/>
          <w:lang w:eastAsia="es-ES"/>
        </w:rPr>
        <w:t>XI</w:t>
      </w:r>
      <w:r w:rsidR="001B7FB1" w:rsidRPr="00C55FB2">
        <w:rPr>
          <w:rFonts w:ascii="Century" w:eastAsia="Times New Roman" w:hAnsi="Century" w:cs="Times New Roman"/>
          <w:b/>
          <w:bCs/>
          <w:lang w:eastAsia="es-ES"/>
        </w:rPr>
        <w:t>I</w:t>
      </w:r>
      <w:r w:rsidRPr="00C55FB2">
        <w:rPr>
          <w:rFonts w:ascii="Century" w:eastAsia="Times New Roman" w:hAnsi="Century" w:cs="Times New Roman"/>
          <w:b/>
          <w:bCs/>
          <w:lang w:eastAsia="es-ES"/>
        </w:rPr>
        <w:t xml:space="preserve">: </w:t>
      </w:r>
      <w:r w:rsidR="004853B0" w:rsidRPr="00C55FB2">
        <w:rPr>
          <w:rFonts w:ascii="Century" w:eastAsia="Times New Roman" w:hAnsi="Century" w:cs="Times New Roman"/>
          <w:b/>
          <w:bCs/>
          <w:lang w:eastAsia="es-ES"/>
        </w:rPr>
        <w:t>Bienes Intangibles</w:t>
      </w:r>
    </w:p>
    <w:p w:rsidR="00722944" w:rsidRPr="00C55FB2"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C55FB2" w:rsidRDefault="00722944" w:rsidP="00722944">
      <w:pPr>
        <w:spacing w:after="0"/>
        <w:jc w:val="both"/>
        <w:rPr>
          <w:rFonts w:ascii="Century" w:eastAsia="Times New Roman" w:hAnsi="Century" w:cs="Times New Roman"/>
        </w:rPr>
      </w:pPr>
      <w:r w:rsidRPr="00C55FB2">
        <w:rPr>
          <w:rFonts w:ascii="Century" w:eastAsia="Times New Roman" w:hAnsi="Century" w:cs="Times New Roman"/>
        </w:rPr>
        <w:t xml:space="preserve">Durante el ejercicio fiscal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2018 y el ejercicio fiscal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2017, los balances de las </w:t>
      </w:r>
      <w:r w:rsidR="004853B0" w:rsidRPr="00C55FB2">
        <w:rPr>
          <w:rFonts w:ascii="Century" w:eastAsia="Times New Roman" w:hAnsi="Century" w:cs="Times New Roman"/>
        </w:rPr>
        <w:t xml:space="preserve">Bienes Intangibles Consistentes </w:t>
      </w:r>
      <w:r w:rsidR="0071105D" w:rsidRPr="00C55FB2">
        <w:rPr>
          <w:rFonts w:ascii="Century" w:eastAsia="Times New Roman" w:hAnsi="Century" w:cs="Times New Roman"/>
        </w:rPr>
        <w:t>en:</w:t>
      </w:r>
      <w:r w:rsidR="004853B0" w:rsidRPr="00C55FB2">
        <w:rPr>
          <w:rFonts w:ascii="Century" w:eastAsia="Times New Roman" w:hAnsi="Century" w:cs="Times New Roman"/>
        </w:rPr>
        <w:t xml:space="preserve"> Paquetes y Programas de Computación, Costos y Estudios y Proyectos y Otros Activos bienes inmateriales eran de RD$0.00 y RD$</w:t>
      </w:r>
      <w:r w:rsidR="00AF20E6" w:rsidRPr="00C55FB2">
        <w:rPr>
          <w:rFonts w:ascii="Century" w:eastAsia="Times New Roman" w:hAnsi="Century" w:cs="Times New Roman"/>
        </w:rPr>
        <w:t>0.00</w:t>
      </w:r>
      <w:r w:rsidRPr="00C55FB2">
        <w:rPr>
          <w:rFonts w:ascii="Century" w:eastAsia="Times New Roman" w:hAnsi="Century" w:cs="Times New Roman"/>
        </w:rPr>
        <w:t xml:space="preserve"> respectivamente,</w:t>
      </w:r>
      <w:r w:rsidRPr="00C55FB2">
        <w:rPr>
          <w:rFonts w:ascii="Century" w:eastAsia="Times New Roman" w:hAnsi="Century" w:cs="Times New Roman"/>
          <w:lang w:val="es-UY"/>
        </w:rPr>
        <w:t xml:space="preserve"> según el siguiente detalle:</w:t>
      </w:r>
      <w:r w:rsidRPr="00C55FB2">
        <w:rPr>
          <w:rFonts w:ascii="Century" w:eastAsia="Times New Roman" w:hAnsi="Century" w:cs="Times New Roman"/>
        </w:rPr>
        <w:t xml:space="preserve"> </w:t>
      </w:r>
    </w:p>
    <w:p w:rsidR="00722944" w:rsidRPr="00C55FB2" w:rsidRDefault="00722944" w:rsidP="00722944">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722944" w:rsidRPr="00C55FB2" w:rsidTr="00F30DC6">
        <w:trPr>
          <w:trHeight w:val="255"/>
        </w:trPr>
        <w:tc>
          <w:tcPr>
            <w:tcW w:w="4875" w:type="dxa"/>
            <w:vAlign w:val="bottom"/>
          </w:tcPr>
          <w:p w:rsidR="00722944" w:rsidRPr="00C55FB2" w:rsidRDefault="00722944" w:rsidP="00722944">
            <w:pPr>
              <w:spacing w:after="0" w:line="240" w:lineRule="auto"/>
              <w:jc w:val="both"/>
              <w:rPr>
                <w:rFonts w:ascii="Century" w:eastAsia="Times New Roman" w:hAnsi="Century" w:cs="Times New Roman"/>
                <w:b/>
                <w:bCs/>
                <w:color w:val="000000"/>
              </w:rPr>
            </w:pPr>
            <w:r w:rsidRPr="00C55FB2">
              <w:rPr>
                <w:rFonts w:ascii="Century" w:eastAsia="Times New Roman" w:hAnsi="Century" w:cs="Times New Roman"/>
                <w:b/>
                <w:bCs/>
                <w:color w:val="000000"/>
              </w:rPr>
              <w:t>DESCRIPCION</w:t>
            </w:r>
          </w:p>
        </w:tc>
        <w:tc>
          <w:tcPr>
            <w:tcW w:w="2000" w:type="dxa"/>
            <w:vAlign w:val="bottom"/>
          </w:tcPr>
          <w:p w:rsidR="00722944" w:rsidRPr="00C55FB2" w:rsidRDefault="00722944" w:rsidP="00722944">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6"/>
              </w:rPr>
              <w:t>2018</w:t>
            </w:r>
          </w:p>
        </w:tc>
        <w:tc>
          <w:tcPr>
            <w:tcW w:w="236" w:type="dxa"/>
          </w:tcPr>
          <w:p w:rsidR="00722944" w:rsidRPr="00C55FB2" w:rsidRDefault="00722944" w:rsidP="00722944">
            <w:pPr>
              <w:spacing w:after="0" w:line="240" w:lineRule="auto"/>
              <w:jc w:val="both"/>
              <w:rPr>
                <w:rFonts w:ascii="Century" w:eastAsia="Times New Roman" w:hAnsi="Century" w:cs="Times New Roman"/>
                <w:b/>
                <w:bCs/>
                <w:color w:val="000000"/>
                <w:sz w:val="16"/>
                <w:szCs w:val="17"/>
              </w:rPr>
            </w:pPr>
          </w:p>
        </w:tc>
        <w:tc>
          <w:tcPr>
            <w:tcW w:w="2040" w:type="dxa"/>
            <w:vAlign w:val="bottom"/>
          </w:tcPr>
          <w:p w:rsidR="00722944" w:rsidRPr="00C55FB2" w:rsidRDefault="00722944" w:rsidP="00722944">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6"/>
              </w:rPr>
              <w:t>2017</w:t>
            </w:r>
          </w:p>
        </w:tc>
      </w:tr>
      <w:tr w:rsidR="00722944" w:rsidRPr="00C55FB2" w:rsidTr="00F30DC6">
        <w:trPr>
          <w:trHeight w:val="255"/>
        </w:trPr>
        <w:tc>
          <w:tcPr>
            <w:tcW w:w="4875" w:type="dxa"/>
            <w:vAlign w:val="bottom"/>
          </w:tcPr>
          <w:p w:rsidR="00722944" w:rsidRPr="00C55FB2" w:rsidRDefault="00C35395"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Paquetes y Programas de Computación</w:t>
            </w:r>
          </w:p>
        </w:tc>
        <w:tc>
          <w:tcPr>
            <w:tcW w:w="2000" w:type="dxa"/>
            <w:noWrap/>
            <w:vAlign w:val="bottom"/>
          </w:tcPr>
          <w:p w:rsidR="00722944" w:rsidRPr="00C55FB2" w:rsidRDefault="00C35395" w:rsidP="00722944">
            <w:pPr>
              <w:spacing w:after="0" w:line="240" w:lineRule="auto"/>
              <w:ind w:right="42"/>
              <w:jc w:val="right"/>
              <w:rPr>
                <w:rFonts w:ascii="Century" w:eastAsia="Times New Roman" w:hAnsi="Century" w:cs="Times New Roman"/>
                <w:sz w:val="16"/>
                <w:szCs w:val="17"/>
              </w:rPr>
            </w:pPr>
            <w:r w:rsidRPr="00C55FB2">
              <w:rPr>
                <w:rFonts w:ascii="Century" w:eastAsia="Arial Unicode MS" w:hAnsi="Century" w:cs="Times New Roman"/>
                <w:sz w:val="16"/>
                <w:szCs w:val="17"/>
              </w:rPr>
              <w:t>0.00</w:t>
            </w:r>
          </w:p>
        </w:tc>
        <w:tc>
          <w:tcPr>
            <w:tcW w:w="236" w:type="dxa"/>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2040" w:type="dxa"/>
            <w:noWrap/>
            <w:vAlign w:val="bottom"/>
          </w:tcPr>
          <w:p w:rsidR="00722944" w:rsidRPr="00C55FB2" w:rsidRDefault="00AF20E6"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0.00</w:t>
            </w:r>
          </w:p>
        </w:tc>
      </w:tr>
      <w:tr w:rsidR="00722944" w:rsidRPr="00C55FB2" w:rsidTr="00F30DC6">
        <w:trPr>
          <w:trHeight w:val="270"/>
        </w:trPr>
        <w:tc>
          <w:tcPr>
            <w:tcW w:w="4875" w:type="dxa"/>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236" w:type="dxa"/>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2040" w:type="dxa"/>
            <w:tcBorders>
              <w:left w:val="nil"/>
              <w:right w:val="nil"/>
            </w:tcBorders>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r>
    </w:tbl>
    <w:p w:rsidR="00AF7C3F" w:rsidRPr="00C55FB2" w:rsidRDefault="00AF7C3F" w:rsidP="004853B0">
      <w:pPr>
        <w:keepNext/>
        <w:suppressAutoHyphens/>
        <w:spacing w:after="0"/>
        <w:jc w:val="both"/>
        <w:outlineLvl w:val="1"/>
        <w:rPr>
          <w:rFonts w:ascii="Century" w:eastAsia="Times New Roman" w:hAnsi="Century" w:cs="Times New Roman"/>
          <w:b/>
          <w:bCs/>
          <w:lang w:eastAsia="es-ES"/>
        </w:rPr>
      </w:pPr>
    </w:p>
    <w:p w:rsidR="004853B0" w:rsidRPr="00C55FB2" w:rsidRDefault="004853B0" w:rsidP="004853B0">
      <w:pPr>
        <w:keepNext/>
        <w:suppressAutoHyphens/>
        <w:spacing w:after="0"/>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 xml:space="preserve">Nota </w:t>
      </w:r>
      <w:r w:rsidR="00BF70B3" w:rsidRPr="00C55FB2">
        <w:rPr>
          <w:rFonts w:ascii="Century" w:eastAsia="Times New Roman" w:hAnsi="Century" w:cs="Times New Roman"/>
          <w:b/>
          <w:bCs/>
          <w:lang w:eastAsia="es-ES"/>
        </w:rPr>
        <w:t>XIII</w:t>
      </w:r>
      <w:r w:rsidRPr="00C55FB2">
        <w:rPr>
          <w:rFonts w:ascii="Century" w:eastAsia="Times New Roman" w:hAnsi="Century" w:cs="Times New Roman"/>
          <w:b/>
          <w:bCs/>
          <w:lang w:eastAsia="es-ES"/>
        </w:rPr>
        <w:t>: Otros Activos no Corrientes</w:t>
      </w:r>
    </w:p>
    <w:p w:rsidR="004853B0" w:rsidRPr="00C55FB2" w:rsidRDefault="004853B0" w:rsidP="004853B0">
      <w:pPr>
        <w:tabs>
          <w:tab w:val="center" w:pos="4320"/>
          <w:tab w:val="right" w:pos="8640"/>
        </w:tabs>
        <w:spacing w:after="0"/>
        <w:jc w:val="both"/>
        <w:rPr>
          <w:rFonts w:ascii="Century" w:eastAsia="Times New Roman" w:hAnsi="Century" w:cs="Times New Roman"/>
          <w:b/>
          <w:szCs w:val="23"/>
          <w:lang w:val="es-ES"/>
        </w:rPr>
      </w:pPr>
    </w:p>
    <w:p w:rsidR="004853B0" w:rsidRPr="00C55FB2" w:rsidRDefault="004853B0" w:rsidP="004853B0">
      <w:pPr>
        <w:spacing w:after="0"/>
        <w:jc w:val="both"/>
        <w:rPr>
          <w:rFonts w:ascii="Century" w:eastAsia="Times New Roman" w:hAnsi="Century" w:cs="Times New Roman"/>
        </w:rPr>
      </w:pPr>
      <w:r w:rsidRPr="00C55FB2">
        <w:rPr>
          <w:rFonts w:ascii="Century" w:eastAsia="Times New Roman" w:hAnsi="Century" w:cs="Times New Roman"/>
        </w:rPr>
        <w:t xml:space="preserve">Durante el ejercicio fiscal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2018 y el ejercicio fiscal </w:t>
      </w:r>
      <w:r w:rsidR="003467CB" w:rsidRPr="00C55FB2">
        <w:rPr>
          <w:rFonts w:ascii="Century" w:eastAsia="Times New Roman" w:hAnsi="Century" w:cs="Times New Roman"/>
        </w:rPr>
        <w:t>Septiembre</w:t>
      </w:r>
      <w:r w:rsidRPr="00C55FB2">
        <w:rPr>
          <w:rFonts w:ascii="Century" w:eastAsia="Times New Roman" w:hAnsi="Century" w:cs="Times New Roman"/>
        </w:rPr>
        <w:t xml:space="preserve"> 2017, los balances de las cuentas Otros activos no corrientes compuesto por depósitos alquileres de oficinas de este Instituto, para el buen funcionamiento de las Direcciones Regionales eran de RD$</w:t>
      </w:r>
      <w:r w:rsidR="00D91702" w:rsidRPr="00C55FB2">
        <w:rPr>
          <w:rFonts w:ascii="Century" w:eastAsia="Times New Roman" w:hAnsi="Century" w:cs="Times New Roman"/>
        </w:rPr>
        <w:t>190,482.00</w:t>
      </w:r>
      <w:r w:rsidR="00AF7C3F" w:rsidRPr="00C55FB2">
        <w:rPr>
          <w:rFonts w:ascii="Century" w:eastAsia="Times New Roman" w:hAnsi="Century" w:cs="Times New Roman"/>
        </w:rPr>
        <w:t xml:space="preserve"> </w:t>
      </w:r>
      <w:r w:rsidRPr="00C55FB2">
        <w:rPr>
          <w:rFonts w:ascii="Century" w:eastAsia="Times New Roman" w:hAnsi="Century" w:cs="Times New Roman"/>
        </w:rPr>
        <w:t>y RD$209,401.00</w:t>
      </w:r>
      <w:r w:rsidRPr="00C55FB2">
        <w:rPr>
          <w:rFonts w:ascii="Century" w:eastAsia="Times New Roman" w:hAnsi="Century" w:cs="Times New Roman"/>
          <w:bCs/>
        </w:rPr>
        <w:t>,</w:t>
      </w:r>
      <w:r w:rsidRPr="00C55FB2">
        <w:rPr>
          <w:rFonts w:ascii="Century" w:eastAsia="Times New Roman" w:hAnsi="Century" w:cs="Times New Roman"/>
        </w:rPr>
        <w:t xml:space="preserve"> esta disminución obedece a que fue cancelado el contrato de alquiler de la Oficina en la Regional Suroeste y de la Dirección y se consumieron los depósitos respectivamente,</w:t>
      </w:r>
      <w:r w:rsidRPr="00C55FB2">
        <w:rPr>
          <w:rFonts w:ascii="Century" w:eastAsia="Times New Roman" w:hAnsi="Century" w:cs="Times New Roman"/>
          <w:lang w:val="es-UY"/>
        </w:rPr>
        <w:t xml:space="preserve"> según el siguiente detalle:</w:t>
      </w:r>
      <w:r w:rsidRPr="00C55FB2">
        <w:rPr>
          <w:rFonts w:ascii="Century" w:eastAsia="Times New Roman" w:hAnsi="Century" w:cs="Times New Roman"/>
        </w:rPr>
        <w:t xml:space="preserve"> </w:t>
      </w:r>
    </w:p>
    <w:p w:rsidR="004853B0" w:rsidRPr="00C55FB2" w:rsidRDefault="004853B0" w:rsidP="004853B0">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4853B0" w:rsidRPr="00C55FB2" w:rsidTr="00D8394E">
        <w:trPr>
          <w:trHeight w:val="255"/>
        </w:trPr>
        <w:tc>
          <w:tcPr>
            <w:tcW w:w="4875" w:type="dxa"/>
            <w:vAlign w:val="bottom"/>
          </w:tcPr>
          <w:p w:rsidR="004853B0" w:rsidRPr="00C55FB2" w:rsidRDefault="004853B0" w:rsidP="00D8394E">
            <w:pPr>
              <w:spacing w:after="0" w:line="240" w:lineRule="auto"/>
              <w:jc w:val="both"/>
              <w:rPr>
                <w:rFonts w:ascii="Century" w:eastAsia="Times New Roman" w:hAnsi="Century" w:cs="Times New Roman"/>
                <w:b/>
                <w:bCs/>
                <w:color w:val="000000"/>
              </w:rPr>
            </w:pPr>
            <w:r w:rsidRPr="00C55FB2">
              <w:rPr>
                <w:rFonts w:ascii="Century" w:eastAsia="Times New Roman" w:hAnsi="Century" w:cs="Times New Roman"/>
                <w:b/>
                <w:bCs/>
                <w:color w:val="000000"/>
              </w:rPr>
              <w:t>DESCRIPCION</w:t>
            </w:r>
          </w:p>
        </w:tc>
        <w:tc>
          <w:tcPr>
            <w:tcW w:w="2000" w:type="dxa"/>
            <w:vAlign w:val="bottom"/>
          </w:tcPr>
          <w:p w:rsidR="004853B0" w:rsidRPr="00C55FB2" w:rsidRDefault="004853B0" w:rsidP="00D8394E">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6"/>
              </w:rPr>
              <w:t>2018</w:t>
            </w:r>
          </w:p>
        </w:tc>
        <w:tc>
          <w:tcPr>
            <w:tcW w:w="236" w:type="dxa"/>
          </w:tcPr>
          <w:p w:rsidR="004853B0" w:rsidRPr="00C55FB2" w:rsidRDefault="004853B0" w:rsidP="00D8394E">
            <w:pPr>
              <w:spacing w:after="0" w:line="240" w:lineRule="auto"/>
              <w:jc w:val="both"/>
              <w:rPr>
                <w:rFonts w:ascii="Century" w:eastAsia="Times New Roman" w:hAnsi="Century" w:cs="Times New Roman"/>
                <w:b/>
                <w:bCs/>
                <w:color w:val="000000"/>
                <w:sz w:val="16"/>
                <w:szCs w:val="17"/>
              </w:rPr>
            </w:pPr>
          </w:p>
        </w:tc>
        <w:tc>
          <w:tcPr>
            <w:tcW w:w="2040" w:type="dxa"/>
            <w:vAlign w:val="bottom"/>
          </w:tcPr>
          <w:p w:rsidR="004853B0" w:rsidRPr="00C55FB2" w:rsidRDefault="004853B0" w:rsidP="00D8394E">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6"/>
              </w:rPr>
              <w:t>2017</w:t>
            </w:r>
          </w:p>
        </w:tc>
      </w:tr>
      <w:tr w:rsidR="004853B0" w:rsidRPr="00C55FB2" w:rsidTr="00D8394E">
        <w:trPr>
          <w:trHeight w:val="255"/>
        </w:trPr>
        <w:tc>
          <w:tcPr>
            <w:tcW w:w="4875" w:type="dxa"/>
            <w:vAlign w:val="bottom"/>
          </w:tcPr>
          <w:p w:rsidR="004853B0" w:rsidRPr="00C55FB2" w:rsidRDefault="004853B0" w:rsidP="00D8394E">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OTROS ACTIVOS CORRIENTES</w:t>
            </w:r>
          </w:p>
        </w:tc>
        <w:tc>
          <w:tcPr>
            <w:tcW w:w="2000" w:type="dxa"/>
            <w:noWrap/>
            <w:vAlign w:val="bottom"/>
          </w:tcPr>
          <w:p w:rsidR="004853B0" w:rsidRPr="00C55FB2" w:rsidRDefault="00D91702" w:rsidP="00D8394E">
            <w:pPr>
              <w:spacing w:after="0" w:line="240" w:lineRule="auto"/>
              <w:ind w:right="42"/>
              <w:jc w:val="right"/>
              <w:rPr>
                <w:rFonts w:ascii="Century" w:eastAsia="Times New Roman" w:hAnsi="Century" w:cs="Times New Roman"/>
                <w:sz w:val="16"/>
                <w:szCs w:val="17"/>
              </w:rPr>
            </w:pPr>
            <w:r w:rsidRPr="00C55FB2">
              <w:rPr>
                <w:rFonts w:ascii="Century" w:eastAsia="Times New Roman" w:hAnsi="Century" w:cs="Times New Roman"/>
                <w:sz w:val="16"/>
                <w:szCs w:val="17"/>
              </w:rPr>
              <w:t>190,482.00</w:t>
            </w:r>
          </w:p>
        </w:tc>
        <w:tc>
          <w:tcPr>
            <w:tcW w:w="236" w:type="dxa"/>
          </w:tcPr>
          <w:p w:rsidR="004853B0" w:rsidRPr="00C55FB2" w:rsidRDefault="004853B0" w:rsidP="00D8394E">
            <w:pPr>
              <w:spacing w:after="0" w:line="240" w:lineRule="auto"/>
              <w:jc w:val="both"/>
              <w:rPr>
                <w:rFonts w:ascii="Century" w:eastAsia="Times New Roman" w:hAnsi="Century" w:cs="Times New Roman"/>
                <w:sz w:val="16"/>
                <w:szCs w:val="17"/>
              </w:rPr>
            </w:pPr>
          </w:p>
        </w:tc>
        <w:tc>
          <w:tcPr>
            <w:tcW w:w="2040" w:type="dxa"/>
            <w:noWrap/>
            <w:vAlign w:val="bottom"/>
          </w:tcPr>
          <w:p w:rsidR="004853B0" w:rsidRPr="00C55FB2" w:rsidRDefault="004853B0" w:rsidP="00D8394E">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209,401.00</w:t>
            </w:r>
          </w:p>
        </w:tc>
      </w:tr>
    </w:tbl>
    <w:p w:rsidR="00722944" w:rsidRPr="00C55FB2" w:rsidRDefault="00722944" w:rsidP="00722944">
      <w:pPr>
        <w:keepNext/>
        <w:suppressAutoHyphens/>
        <w:spacing w:after="0" w:line="360" w:lineRule="auto"/>
        <w:jc w:val="both"/>
        <w:outlineLvl w:val="1"/>
        <w:rPr>
          <w:rFonts w:ascii="Century" w:eastAsia="Times New Roman" w:hAnsi="Century" w:cs="Times New Roman"/>
          <w:b/>
          <w:bCs/>
          <w:sz w:val="20"/>
          <w:szCs w:val="21"/>
          <w:lang w:eastAsia="es-ES"/>
        </w:rPr>
      </w:pPr>
    </w:p>
    <w:p w:rsidR="00722944" w:rsidRPr="00C55FB2" w:rsidRDefault="00722944" w:rsidP="00722944">
      <w:pPr>
        <w:spacing w:after="0" w:line="240" w:lineRule="auto"/>
        <w:jc w:val="both"/>
        <w:rPr>
          <w:rFonts w:ascii="Century" w:eastAsia="Times New Roman" w:hAnsi="Century" w:cs="Times New Roman"/>
          <w:b/>
          <w:sz w:val="24"/>
          <w:szCs w:val="24"/>
          <w:lang w:eastAsia="es-ES"/>
        </w:rPr>
      </w:pPr>
    </w:p>
    <w:p w:rsidR="00722944" w:rsidRPr="00C55FB2" w:rsidRDefault="00722944" w:rsidP="00722944">
      <w:pPr>
        <w:keepNext/>
        <w:suppressAutoHyphens/>
        <w:spacing w:after="0"/>
        <w:jc w:val="both"/>
        <w:outlineLvl w:val="1"/>
        <w:rPr>
          <w:rFonts w:ascii="Century" w:eastAsia="Times New Roman" w:hAnsi="Century" w:cs="Times New Roman"/>
          <w:b/>
          <w:bCs/>
          <w:szCs w:val="23"/>
          <w:lang w:eastAsia="es-ES"/>
        </w:rPr>
      </w:pPr>
      <w:r w:rsidRPr="00C55FB2">
        <w:rPr>
          <w:rFonts w:ascii="Century" w:eastAsia="Times New Roman" w:hAnsi="Century" w:cs="Times New Roman"/>
          <w:b/>
          <w:bCs/>
          <w:sz w:val="20"/>
          <w:szCs w:val="20"/>
          <w:lang w:eastAsia="es-ES"/>
        </w:rPr>
        <w:t xml:space="preserve">PASIVOS   </w:t>
      </w:r>
    </w:p>
    <w:p w:rsidR="00722944" w:rsidRPr="00C55FB2" w:rsidRDefault="00722944" w:rsidP="00722944">
      <w:pPr>
        <w:spacing w:after="0"/>
        <w:jc w:val="both"/>
        <w:rPr>
          <w:rFonts w:ascii="Century" w:eastAsia="Times New Roman" w:hAnsi="Century" w:cs="Times New Roman"/>
          <w:b/>
          <w:bCs/>
          <w:lang w:val="es-ES" w:eastAsia="es-ES"/>
        </w:rPr>
      </w:pPr>
    </w:p>
    <w:p w:rsidR="00722944" w:rsidRPr="00C55FB2" w:rsidRDefault="00DF47C3" w:rsidP="00722944">
      <w:pPr>
        <w:keepNext/>
        <w:suppressAutoHyphens/>
        <w:spacing w:after="0"/>
        <w:jc w:val="both"/>
        <w:outlineLvl w:val="1"/>
        <w:rPr>
          <w:rFonts w:ascii="Century" w:eastAsia="Times New Roman" w:hAnsi="Century" w:cs="Times New Roman"/>
          <w:b/>
          <w:bCs/>
          <w:color w:val="FF0000"/>
          <w:lang w:eastAsia="es-ES"/>
        </w:rPr>
      </w:pPr>
      <w:r w:rsidRPr="00C55FB2">
        <w:rPr>
          <w:rFonts w:ascii="Century" w:eastAsia="Times New Roman" w:hAnsi="Century" w:cs="Times New Roman"/>
          <w:b/>
          <w:bCs/>
          <w:lang w:eastAsia="es-ES"/>
        </w:rPr>
        <w:t xml:space="preserve">Nota </w:t>
      </w:r>
      <w:r w:rsidR="00BF70B3" w:rsidRPr="00C55FB2">
        <w:rPr>
          <w:rFonts w:ascii="Century" w:eastAsia="Times New Roman" w:hAnsi="Century" w:cs="Times New Roman"/>
          <w:b/>
          <w:bCs/>
          <w:lang w:eastAsia="es-ES"/>
        </w:rPr>
        <w:t>XIV</w:t>
      </w:r>
      <w:r w:rsidR="00722944" w:rsidRPr="00C55FB2">
        <w:rPr>
          <w:rFonts w:ascii="Century" w:eastAsia="Times New Roman" w:hAnsi="Century" w:cs="Times New Roman"/>
          <w:b/>
          <w:bCs/>
          <w:lang w:eastAsia="es-ES"/>
        </w:rPr>
        <w:t xml:space="preserve">: Obligaciones Autorizadas para Pago                                 </w:t>
      </w:r>
    </w:p>
    <w:p w:rsidR="00722944" w:rsidRPr="00C55FB2" w:rsidRDefault="00722944" w:rsidP="00722944">
      <w:pPr>
        <w:spacing w:after="0"/>
        <w:jc w:val="both"/>
        <w:rPr>
          <w:rFonts w:ascii="Century" w:eastAsia="Times New Roman" w:hAnsi="Century" w:cs="Times New Roman"/>
          <w:b/>
          <w:bCs/>
          <w:szCs w:val="23"/>
          <w:lang w:val="es-ES"/>
        </w:rPr>
      </w:pPr>
    </w:p>
    <w:p w:rsidR="00722944" w:rsidRPr="00C55FB2" w:rsidRDefault="00722944" w:rsidP="00722944">
      <w:pPr>
        <w:spacing w:after="0"/>
        <w:jc w:val="both"/>
        <w:rPr>
          <w:rFonts w:ascii="Century" w:eastAsia="Times New Roman" w:hAnsi="Century" w:cs="Times New Roman"/>
          <w:lang w:val="es-UY"/>
        </w:rPr>
      </w:pPr>
      <w:r w:rsidRPr="00C55FB2">
        <w:rPr>
          <w:rFonts w:ascii="Century" w:eastAsia="Times New Roman" w:hAnsi="Century" w:cs="Times New Roman"/>
        </w:rPr>
        <w:t xml:space="preserve">Durante el ejercicio fiscal  del </w:t>
      </w:r>
      <w:r w:rsidR="0051355F" w:rsidRPr="00C55FB2">
        <w:rPr>
          <w:rFonts w:ascii="Century" w:eastAsia="Times New Roman" w:hAnsi="Century" w:cs="Times New Roman"/>
        </w:rPr>
        <w:t>3</w:t>
      </w:r>
      <w:r w:rsidR="00A92F9D" w:rsidRPr="00C55FB2">
        <w:rPr>
          <w:rFonts w:ascii="Century" w:eastAsia="Times New Roman" w:hAnsi="Century" w:cs="Times New Roman"/>
        </w:rPr>
        <w:t>0</w:t>
      </w:r>
      <w:r w:rsidRPr="00C55FB2">
        <w:rPr>
          <w:rFonts w:ascii="Century" w:eastAsia="Times New Roman" w:hAnsi="Century" w:cs="Times New Roman"/>
        </w:rPr>
        <w:t xml:space="preserve">  de </w:t>
      </w:r>
      <w:r w:rsidR="00A92F9D" w:rsidRPr="00C55FB2">
        <w:rPr>
          <w:rFonts w:ascii="Century" w:eastAsia="Times New Roman" w:hAnsi="Century" w:cs="Times New Roman"/>
        </w:rPr>
        <w:t>Septiembre</w:t>
      </w:r>
      <w:r w:rsidRPr="00C55FB2">
        <w:rPr>
          <w:rFonts w:ascii="Century" w:eastAsia="Times New Roman" w:hAnsi="Century" w:cs="Times New Roman"/>
        </w:rPr>
        <w:t xml:space="preserve">  del 2018 y el </w:t>
      </w:r>
      <w:r w:rsidR="0051355F" w:rsidRPr="00C55FB2">
        <w:rPr>
          <w:rFonts w:ascii="Century" w:eastAsia="Times New Roman" w:hAnsi="Century" w:cs="Times New Roman"/>
        </w:rPr>
        <w:t>3</w:t>
      </w:r>
      <w:r w:rsidR="00A92F9D" w:rsidRPr="00C55FB2">
        <w:rPr>
          <w:rFonts w:ascii="Century" w:eastAsia="Times New Roman" w:hAnsi="Century" w:cs="Times New Roman"/>
        </w:rPr>
        <w:t>0</w:t>
      </w:r>
      <w:r w:rsidRPr="00C55FB2">
        <w:rPr>
          <w:rFonts w:ascii="Century" w:eastAsia="Times New Roman" w:hAnsi="Century" w:cs="Times New Roman"/>
        </w:rPr>
        <w:t xml:space="preserve"> de </w:t>
      </w:r>
      <w:r w:rsidR="00A92F9D" w:rsidRPr="00C55FB2">
        <w:rPr>
          <w:rFonts w:ascii="Century" w:eastAsia="Times New Roman" w:hAnsi="Century" w:cs="Times New Roman"/>
        </w:rPr>
        <w:t>Septiembre</w:t>
      </w:r>
      <w:r w:rsidRPr="00C55FB2">
        <w:rPr>
          <w:rFonts w:ascii="Century" w:eastAsia="Times New Roman" w:hAnsi="Century" w:cs="Times New Roman"/>
        </w:rPr>
        <w:t xml:space="preserve"> del ejercicio  fiscal 2017, </w:t>
      </w:r>
      <w:r w:rsidRPr="00C55FB2">
        <w:rPr>
          <w:rFonts w:ascii="Century" w:eastAsia="Times New Roman" w:hAnsi="Century" w:cs="Times New Roman"/>
          <w:bCs/>
        </w:rPr>
        <w:t xml:space="preserve">las Obligaciones para Pago, ascendieron a un total de </w:t>
      </w:r>
      <w:r w:rsidRPr="00C55FB2">
        <w:rPr>
          <w:rFonts w:ascii="Century" w:eastAsia="Times New Roman" w:hAnsi="Century" w:cs="Times New Roman"/>
          <w:bCs/>
          <w:sz w:val="20"/>
          <w:szCs w:val="20"/>
        </w:rPr>
        <w:t>RD$</w:t>
      </w:r>
      <w:r w:rsidR="006220E2" w:rsidRPr="00C55FB2">
        <w:rPr>
          <w:rFonts w:ascii="Century" w:eastAsia="Times New Roman" w:hAnsi="Century" w:cs="Times New Roman"/>
          <w:bCs/>
          <w:sz w:val="20"/>
          <w:szCs w:val="20"/>
        </w:rPr>
        <w:t>10,970,503.39</w:t>
      </w:r>
      <w:r w:rsidR="00AF7C3F" w:rsidRPr="00C55FB2">
        <w:rPr>
          <w:rFonts w:ascii="Century" w:eastAsia="Times New Roman" w:hAnsi="Century" w:cs="Times New Roman"/>
          <w:bCs/>
          <w:sz w:val="20"/>
          <w:szCs w:val="20"/>
        </w:rPr>
        <w:t xml:space="preserve"> </w:t>
      </w:r>
      <w:r w:rsidR="0065143A" w:rsidRPr="00C55FB2">
        <w:rPr>
          <w:rFonts w:ascii="Century" w:eastAsia="Times New Roman" w:hAnsi="Century" w:cs="Times New Roman"/>
          <w:bCs/>
          <w:sz w:val="20"/>
          <w:szCs w:val="20"/>
        </w:rPr>
        <w:t xml:space="preserve"> </w:t>
      </w:r>
      <w:r w:rsidRPr="00C55FB2">
        <w:rPr>
          <w:rFonts w:ascii="Century" w:eastAsia="Times New Roman" w:hAnsi="Century" w:cs="Times New Roman"/>
          <w:bCs/>
          <w:sz w:val="20"/>
          <w:szCs w:val="20"/>
        </w:rPr>
        <w:t>y RD$</w:t>
      </w:r>
      <w:r w:rsidR="00147CF5" w:rsidRPr="00C55FB2">
        <w:rPr>
          <w:rFonts w:ascii="Century" w:eastAsia="Times New Roman" w:hAnsi="Century" w:cs="Times New Roman"/>
          <w:bCs/>
          <w:sz w:val="20"/>
          <w:szCs w:val="20"/>
        </w:rPr>
        <w:t>10,721,139.23</w:t>
      </w:r>
      <w:r w:rsidRPr="00C55FB2">
        <w:rPr>
          <w:rFonts w:ascii="Century" w:eastAsia="Times New Roman" w:hAnsi="Century" w:cs="Times New Roman"/>
          <w:bCs/>
        </w:rPr>
        <w:t>, respectivamente,</w:t>
      </w:r>
      <w:r w:rsidRPr="00C55FB2">
        <w:rPr>
          <w:rFonts w:ascii="Century" w:eastAsia="Times New Roman" w:hAnsi="Century" w:cs="Times New Roman"/>
        </w:rPr>
        <w:t xml:space="preserve">  </w:t>
      </w:r>
      <w:r w:rsidRPr="00C55FB2">
        <w:rPr>
          <w:rFonts w:ascii="Century" w:eastAsia="Times New Roman" w:hAnsi="Century" w:cs="Times New Roman"/>
          <w:lang w:val="es-UY"/>
        </w:rPr>
        <w:t>según el siguiente detalle:</w:t>
      </w:r>
    </w:p>
    <w:p w:rsidR="00722944" w:rsidRPr="00C55FB2" w:rsidRDefault="00722944" w:rsidP="00722944">
      <w:pPr>
        <w:spacing w:after="0"/>
        <w:jc w:val="both"/>
        <w:rPr>
          <w:rFonts w:ascii="Century" w:eastAsia="Times New Roman" w:hAnsi="Century" w:cs="Times New Roman"/>
          <w:bCs/>
        </w:rPr>
      </w:pPr>
    </w:p>
    <w:p w:rsidR="00722944" w:rsidRPr="00C55FB2" w:rsidRDefault="00722944" w:rsidP="00722944">
      <w:pPr>
        <w:spacing w:after="0"/>
        <w:jc w:val="both"/>
        <w:rPr>
          <w:rFonts w:ascii="Century" w:eastAsia="Times New Roman" w:hAnsi="Century" w:cs="Times New Roman"/>
          <w:b/>
          <w:bCs/>
          <w:sz w:val="20"/>
          <w:szCs w:val="21"/>
        </w:rPr>
      </w:pPr>
      <w:r w:rsidRPr="00C55FB2">
        <w:rPr>
          <w:rFonts w:ascii="Century" w:eastAsia="Times New Roman" w:hAnsi="Century" w:cs="Times New Roman"/>
          <w:b/>
          <w:bCs/>
          <w:sz w:val="20"/>
          <w:szCs w:val="20"/>
        </w:rPr>
        <w:t xml:space="preserve">   </w:t>
      </w:r>
    </w:p>
    <w:tbl>
      <w:tblPr>
        <w:tblW w:w="9195" w:type="dxa"/>
        <w:tblInd w:w="93" w:type="dxa"/>
        <w:tblLook w:val="0000" w:firstRow="0" w:lastRow="0" w:firstColumn="0" w:lastColumn="0" w:noHBand="0" w:noVBand="0"/>
      </w:tblPr>
      <w:tblGrid>
        <w:gridCol w:w="5235"/>
        <w:gridCol w:w="1939"/>
        <w:gridCol w:w="261"/>
        <w:gridCol w:w="1760"/>
      </w:tblGrid>
      <w:tr w:rsidR="00722944" w:rsidRPr="00C55FB2" w:rsidTr="00F30DC6">
        <w:trPr>
          <w:trHeight w:val="255"/>
        </w:trPr>
        <w:tc>
          <w:tcPr>
            <w:tcW w:w="5235"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bCs/>
              </w:rPr>
            </w:pPr>
            <w:r w:rsidRPr="00C55FB2">
              <w:rPr>
                <w:rFonts w:ascii="Century" w:eastAsia="Times New Roman" w:hAnsi="Century" w:cs="Times New Roman"/>
                <w:b/>
                <w:bCs/>
                <w:lang w:val="es-AR"/>
              </w:rPr>
              <w:t>DESCRIPCION</w:t>
            </w:r>
          </w:p>
        </w:tc>
        <w:tc>
          <w:tcPr>
            <w:tcW w:w="1939" w:type="dxa"/>
            <w:shd w:val="clear" w:color="auto" w:fill="FFFFFF"/>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2018</w:t>
            </w:r>
          </w:p>
        </w:tc>
        <w:tc>
          <w:tcPr>
            <w:tcW w:w="261" w:type="dxa"/>
            <w:shd w:val="clear" w:color="auto" w:fill="FFFFFF"/>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2017</w:t>
            </w:r>
          </w:p>
        </w:tc>
      </w:tr>
      <w:tr w:rsidR="00722944" w:rsidRPr="00C55FB2" w:rsidTr="00F30DC6">
        <w:trPr>
          <w:cantSplit/>
          <w:trHeight w:val="255"/>
        </w:trPr>
        <w:tc>
          <w:tcPr>
            <w:tcW w:w="5235"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CUENTAS POR PAGAR</w:t>
            </w:r>
          </w:p>
        </w:tc>
        <w:tc>
          <w:tcPr>
            <w:tcW w:w="1939" w:type="dxa"/>
            <w:shd w:val="clear" w:color="auto" w:fill="FFFFFF"/>
            <w:vAlign w:val="bottom"/>
          </w:tcPr>
          <w:p w:rsidR="00722944" w:rsidRPr="00C55FB2" w:rsidRDefault="006220E2"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10,970,503.39</w:t>
            </w:r>
          </w:p>
        </w:tc>
        <w:tc>
          <w:tcPr>
            <w:tcW w:w="261" w:type="dxa"/>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C55FB2" w:rsidRDefault="00147CF5"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10,721,139.23</w:t>
            </w:r>
          </w:p>
        </w:tc>
      </w:tr>
      <w:tr w:rsidR="00722944" w:rsidRPr="00C55FB2" w:rsidTr="00F30DC6">
        <w:trPr>
          <w:cantSplit/>
          <w:trHeight w:val="255"/>
        </w:trPr>
        <w:tc>
          <w:tcPr>
            <w:tcW w:w="5235" w:type="dxa"/>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939"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261" w:type="dxa"/>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760" w:type="dxa"/>
            <w:vAlign w:val="bottom"/>
          </w:tcPr>
          <w:p w:rsidR="00722944" w:rsidRPr="00C55FB2" w:rsidRDefault="00722944" w:rsidP="00722944">
            <w:pPr>
              <w:spacing w:after="0" w:line="240" w:lineRule="auto"/>
              <w:jc w:val="both"/>
              <w:rPr>
                <w:rFonts w:ascii="Century" w:eastAsia="Times New Roman" w:hAnsi="Century" w:cs="Times New Roman"/>
                <w:b/>
                <w:color w:val="000000"/>
                <w:sz w:val="16"/>
                <w:szCs w:val="17"/>
              </w:rPr>
            </w:pPr>
          </w:p>
        </w:tc>
      </w:tr>
      <w:tr w:rsidR="00722944" w:rsidRPr="00C55FB2" w:rsidTr="00F30DC6">
        <w:trPr>
          <w:cantSplit/>
          <w:trHeight w:val="270"/>
        </w:trPr>
        <w:tc>
          <w:tcPr>
            <w:tcW w:w="5235" w:type="dxa"/>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p w:rsidR="00722944" w:rsidRPr="00C55FB2" w:rsidRDefault="00722944" w:rsidP="00722944">
            <w:pPr>
              <w:spacing w:after="0" w:line="240" w:lineRule="auto"/>
              <w:jc w:val="both"/>
              <w:rPr>
                <w:rFonts w:ascii="Century" w:eastAsia="Times New Roman" w:hAnsi="Century" w:cs="Times New Roman"/>
                <w:b/>
                <w:bCs/>
                <w:sz w:val="16"/>
                <w:szCs w:val="17"/>
              </w:rPr>
            </w:pPr>
          </w:p>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939" w:type="dxa"/>
            <w:tcBorders>
              <w:left w:val="nil"/>
              <w:right w:val="nil"/>
            </w:tcBorders>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261" w:type="dxa"/>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760" w:type="dxa"/>
            <w:tcBorders>
              <w:left w:val="nil"/>
              <w:right w:val="nil"/>
            </w:tcBorders>
            <w:vAlign w:val="bottom"/>
          </w:tcPr>
          <w:p w:rsidR="00722944" w:rsidRPr="00C55FB2" w:rsidRDefault="00722944" w:rsidP="00722944">
            <w:pPr>
              <w:spacing w:after="0" w:line="240" w:lineRule="auto"/>
              <w:jc w:val="both"/>
              <w:rPr>
                <w:rFonts w:ascii="Century" w:eastAsia="Times New Roman" w:hAnsi="Century" w:cs="Times New Roman"/>
                <w:b/>
                <w:bCs/>
                <w:color w:val="000000"/>
                <w:sz w:val="16"/>
                <w:szCs w:val="17"/>
              </w:rPr>
            </w:pPr>
          </w:p>
        </w:tc>
      </w:tr>
    </w:tbl>
    <w:p w:rsidR="00722944" w:rsidRPr="00C55FB2" w:rsidRDefault="001F7AA0" w:rsidP="00722944">
      <w:pPr>
        <w:keepNext/>
        <w:suppressAutoHyphens/>
        <w:spacing w:after="0"/>
        <w:jc w:val="both"/>
        <w:outlineLvl w:val="1"/>
        <w:rPr>
          <w:rFonts w:ascii="Century" w:eastAsia="Times New Roman" w:hAnsi="Century" w:cs="Times New Roman"/>
          <w:b/>
          <w:bCs/>
          <w:color w:val="FF0000"/>
          <w:lang w:eastAsia="es-ES"/>
        </w:rPr>
      </w:pPr>
      <w:r w:rsidRPr="00C55FB2">
        <w:rPr>
          <w:rFonts w:ascii="Century" w:eastAsia="Times New Roman" w:hAnsi="Century" w:cs="Times New Roman"/>
          <w:b/>
          <w:bCs/>
          <w:lang w:eastAsia="es-ES"/>
        </w:rPr>
        <w:t xml:space="preserve">Nota </w:t>
      </w:r>
      <w:r w:rsidR="008D4B34" w:rsidRPr="00C55FB2">
        <w:rPr>
          <w:rFonts w:ascii="Century" w:eastAsia="Times New Roman" w:hAnsi="Century" w:cs="Times New Roman"/>
          <w:b/>
          <w:bCs/>
          <w:lang w:eastAsia="es-ES"/>
        </w:rPr>
        <w:t>X</w:t>
      </w:r>
      <w:r w:rsidR="00BF70B3" w:rsidRPr="00C55FB2">
        <w:rPr>
          <w:rFonts w:ascii="Century" w:eastAsia="Times New Roman" w:hAnsi="Century" w:cs="Times New Roman"/>
          <w:b/>
          <w:bCs/>
          <w:lang w:eastAsia="es-ES"/>
        </w:rPr>
        <w:t>V</w:t>
      </w:r>
      <w:r w:rsidR="00722944" w:rsidRPr="00C55FB2">
        <w:rPr>
          <w:rFonts w:ascii="Century" w:eastAsia="Times New Roman" w:hAnsi="Century" w:cs="Times New Roman"/>
          <w:b/>
          <w:bCs/>
          <w:lang w:eastAsia="es-ES"/>
        </w:rPr>
        <w:t xml:space="preserve">: Obligaciones Autorizadas para Pago (Comisiones)                                 </w:t>
      </w:r>
    </w:p>
    <w:p w:rsidR="00722944" w:rsidRPr="00C55FB2" w:rsidRDefault="00722944" w:rsidP="00722944">
      <w:pPr>
        <w:spacing w:after="0"/>
        <w:jc w:val="both"/>
        <w:rPr>
          <w:rFonts w:ascii="Century" w:eastAsia="Times New Roman" w:hAnsi="Century" w:cs="Times New Roman"/>
          <w:b/>
          <w:bCs/>
          <w:lang w:val="es-ES"/>
        </w:rPr>
      </w:pPr>
    </w:p>
    <w:p w:rsidR="00722944" w:rsidRPr="00C55FB2" w:rsidRDefault="00722944" w:rsidP="00722944">
      <w:pPr>
        <w:spacing w:after="0"/>
        <w:jc w:val="both"/>
        <w:rPr>
          <w:rFonts w:ascii="Century" w:eastAsia="Times New Roman" w:hAnsi="Century" w:cs="Times New Roman"/>
          <w:lang w:val="es-UY"/>
        </w:rPr>
      </w:pPr>
      <w:r w:rsidRPr="00C55FB2">
        <w:rPr>
          <w:rFonts w:ascii="Century" w:eastAsia="Times New Roman" w:hAnsi="Century" w:cs="Times New Roman"/>
        </w:rPr>
        <w:t xml:space="preserve">Durante el ejercicio fiscal  del </w:t>
      </w:r>
      <w:r w:rsidR="000B4B22" w:rsidRPr="00C55FB2">
        <w:rPr>
          <w:rFonts w:ascii="Century" w:eastAsia="Times New Roman" w:hAnsi="Century" w:cs="Times New Roman"/>
        </w:rPr>
        <w:t>3</w:t>
      </w:r>
      <w:r w:rsidR="00A92F9D" w:rsidRPr="00C55FB2">
        <w:rPr>
          <w:rFonts w:ascii="Century" w:eastAsia="Times New Roman" w:hAnsi="Century" w:cs="Times New Roman"/>
        </w:rPr>
        <w:t>0</w:t>
      </w:r>
      <w:r w:rsidRPr="00C55FB2">
        <w:rPr>
          <w:rFonts w:ascii="Century" w:eastAsia="Times New Roman" w:hAnsi="Century" w:cs="Times New Roman"/>
        </w:rPr>
        <w:t xml:space="preserve">  de </w:t>
      </w:r>
      <w:r w:rsidR="00A92F9D" w:rsidRPr="00C55FB2">
        <w:rPr>
          <w:rFonts w:ascii="Century" w:eastAsia="Times New Roman" w:hAnsi="Century" w:cs="Times New Roman"/>
        </w:rPr>
        <w:t>Septiembre</w:t>
      </w:r>
      <w:r w:rsidRPr="00C55FB2">
        <w:rPr>
          <w:rFonts w:ascii="Century" w:eastAsia="Times New Roman" w:hAnsi="Century" w:cs="Times New Roman"/>
        </w:rPr>
        <w:t xml:space="preserve">  del 2018 y el </w:t>
      </w:r>
      <w:r w:rsidR="000B4B22" w:rsidRPr="00C55FB2">
        <w:rPr>
          <w:rFonts w:ascii="Century" w:eastAsia="Times New Roman" w:hAnsi="Century" w:cs="Times New Roman"/>
        </w:rPr>
        <w:t>3</w:t>
      </w:r>
      <w:r w:rsidR="00A92F9D" w:rsidRPr="00C55FB2">
        <w:rPr>
          <w:rFonts w:ascii="Century" w:eastAsia="Times New Roman" w:hAnsi="Century" w:cs="Times New Roman"/>
        </w:rPr>
        <w:t>0</w:t>
      </w:r>
      <w:r w:rsidRPr="00C55FB2">
        <w:rPr>
          <w:rFonts w:ascii="Century" w:eastAsia="Times New Roman" w:hAnsi="Century" w:cs="Times New Roman"/>
        </w:rPr>
        <w:t xml:space="preserve"> de </w:t>
      </w:r>
      <w:r w:rsidR="00A92F9D" w:rsidRPr="00C55FB2">
        <w:rPr>
          <w:rFonts w:ascii="Century" w:eastAsia="Times New Roman" w:hAnsi="Century" w:cs="Times New Roman"/>
        </w:rPr>
        <w:t>Septiembre</w:t>
      </w:r>
      <w:r w:rsidRPr="00C55FB2">
        <w:rPr>
          <w:rFonts w:ascii="Century" w:eastAsia="Times New Roman" w:hAnsi="Century" w:cs="Times New Roman"/>
        </w:rPr>
        <w:t xml:space="preserve"> del ejercicio  fiscal 2017, </w:t>
      </w:r>
      <w:r w:rsidRPr="00C55FB2">
        <w:rPr>
          <w:rFonts w:ascii="Century" w:eastAsia="Times New Roman" w:hAnsi="Century" w:cs="Times New Roman"/>
          <w:bCs/>
        </w:rPr>
        <w:t xml:space="preserve">las Obligaciones para Pago (Comisiones), ascendieron a un total de </w:t>
      </w:r>
      <w:r w:rsidRPr="00C55FB2">
        <w:rPr>
          <w:rFonts w:ascii="Century" w:eastAsia="Times New Roman" w:hAnsi="Century" w:cs="Times New Roman"/>
          <w:bCs/>
          <w:sz w:val="20"/>
          <w:szCs w:val="20"/>
        </w:rPr>
        <w:t>RD</w:t>
      </w:r>
      <w:r w:rsidR="00AF7C3F" w:rsidRPr="00C55FB2">
        <w:rPr>
          <w:rFonts w:ascii="Century" w:eastAsia="Times New Roman" w:hAnsi="Century" w:cs="Times New Roman"/>
          <w:bCs/>
          <w:sz w:val="20"/>
          <w:szCs w:val="20"/>
        </w:rPr>
        <w:t>$</w:t>
      </w:r>
      <w:r w:rsidR="00B1464C" w:rsidRPr="00C55FB2">
        <w:rPr>
          <w:rFonts w:ascii="Century" w:eastAsia="Times New Roman" w:hAnsi="Century" w:cs="Times New Roman"/>
          <w:bCs/>
          <w:sz w:val="20"/>
          <w:szCs w:val="20"/>
        </w:rPr>
        <w:t>3,928,822.35</w:t>
      </w:r>
      <w:r w:rsidR="00AF7C3F" w:rsidRPr="00C55FB2">
        <w:rPr>
          <w:rFonts w:ascii="Century" w:eastAsia="Times New Roman" w:hAnsi="Century" w:cs="Times New Roman"/>
          <w:bCs/>
          <w:sz w:val="20"/>
          <w:szCs w:val="20"/>
        </w:rPr>
        <w:t xml:space="preserve"> </w:t>
      </w:r>
      <w:r w:rsidRPr="00C55FB2">
        <w:rPr>
          <w:rFonts w:ascii="Century" w:eastAsia="Times New Roman" w:hAnsi="Century" w:cs="Times New Roman"/>
          <w:bCs/>
          <w:sz w:val="20"/>
          <w:szCs w:val="20"/>
        </w:rPr>
        <w:t>y RD$</w:t>
      </w:r>
      <w:r w:rsidR="00EE7C5A" w:rsidRPr="00C55FB2">
        <w:rPr>
          <w:rFonts w:ascii="Century" w:eastAsia="Times New Roman" w:hAnsi="Century" w:cs="Times New Roman"/>
          <w:bCs/>
          <w:sz w:val="20"/>
          <w:szCs w:val="20"/>
        </w:rPr>
        <w:t>12,838,890.25</w:t>
      </w:r>
      <w:r w:rsidRPr="00C55FB2">
        <w:rPr>
          <w:rFonts w:ascii="Century" w:eastAsia="Times New Roman" w:hAnsi="Century" w:cs="Times New Roman"/>
          <w:bCs/>
        </w:rPr>
        <w:t>, respectivamente,</w:t>
      </w:r>
      <w:r w:rsidRPr="00C55FB2">
        <w:rPr>
          <w:rFonts w:ascii="Century" w:eastAsia="Times New Roman" w:hAnsi="Century" w:cs="Times New Roman"/>
        </w:rPr>
        <w:t xml:space="preserve">  </w:t>
      </w:r>
      <w:r w:rsidRPr="00C55FB2">
        <w:rPr>
          <w:rFonts w:ascii="Century" w:eastAsia="Times New Roman" w:hAnsi="Century" w:cs="Times New Roman"/>
          <w:lang w:val="es-UY"/>
        </w:rPr>
        <w:t>según el siguiente detalle:</w:t>
      </w:r>
    </w:p>
    <w:p w:rsidR="00722944" w:rsidRPr="00C55FB2" w:rsidRDefault="00722944" w:rsidP="00722944">
      <w:pPr>
        <w:spacing w:after="0"/>
        <w:jc w:val="both"/>
        <w:rPr>
          <w:rFonts w:ascii="Century" w:eastAsia="Times New Roman" w:hAnsi="Century" w:cs="Times New Roman"/>
          <w:b/>
          <w:lang w:val="es-UY"/>
        </w:rPr>
      </w:pPr>
    </w:p>
    <w:p w:rsidR="00722944" w:rsidRPr="00C55FB2" w:rsidRDefault="00722944" w:rsidP="00722944">
      <w:pPr>
        <w:spacing w:after="0"/>
        <w:jc w:val="both"/>
        <w:rPr>
          <w:rFonts w:ascii="Century" w:eastAsia="Times New Roman" w:hAnsi="Century" w:cs="Times New Roman"/>
          <w:b/>
          <w:bCs/>
          <w:sz w:val="20"/>
          <w:szCs w:val="21"/>
        </w:rPr>
      </w:pPr>
    </w:p>
    <w:tbl>
      <w:tblPr>
        <w:tblW w:w="9195" w:type="dxa"/>
        <w:tblInd w:w="93" w:type="dxa"/>
        <w:tblLook w:val="0000" w:firstRow="0" w:lastRow="0" w:firstColumn="0" w:lastColumn="0" w:noHBand="0" w:noVBand="0"/>
      </w:tblPr>
      <w:tblGrid>
        <w:gridCol w:w="5235"/>
        <w:gridCol w:w="1939"/>
        <w:gridCol w:w="261"/>
        <w:gridCol w:w="1760"/>
      </w:tblGrid>
      <w:tr w:rsidR="00722944" w:rsidRPr="00C55FB2" w:rsidTr="00F30DC6">
        <w:trPr>
          <w:trHeight w:val="255"/>
        </w:trPr>
        <w:tc>
          <w:tcPr>
            <w:tcW w:w="5235"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bCs/>
              </w:rPr>
            </w:pPr>
            <w:r w:rsidRPr="00C55FB2">
              <w:rPr>
                <w:rFonts w:ascii="Century" w:eastAsia="Times New Roman" w:hAnsi="Century" w:cs="Times New Roman"/>
                <w:b/>
                <w:bCs/>
                <w:lang w:val="es-AR"/>
              </w:rPr>
              <w:t>DESCRIPCION</w:t>
            </w:r>
          </w:p>
        </w:tc>
        <w:tc>
          <w:tcPr>
            <w:tcW w:w="1939" w:type="dxa"/>
            <w:shd w:val="clear" w:color="auto" w:fill="FFFFFF"/>
            <w:vAlign w:val="bottom"/>
          </w:tcPr>
          <w:p w:rsidR="00722944" w:rsidRPr="00C55FB2" w:rsidRDefault="00722944" w:rsidP="000B4B22">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w:t>
            </w:r>
            <w:r w:rsidR="000B4B22" w:rsidRPr="00C55FB2">
              <w:rPr>
                <w:rFonts w:ascii="Century" w:eastAsia="Times New Roman" w:hAnsi="Century" w:cs="Times New Roman"/>
                <w:b/>
                <w:bCs/>
                <w:sz w:val="16"/>
                <w:szCs w:val="16"/>
              </w:rPr>
              <w:t>8</w:t>
            </w:r>
          </w:p>
        </w:tc>
        <w:tc>
          <w:tcPr>
            <w:tcW w:w="261" w:type="dxa"/>
            <w:shd w:val="clear" w:color="auto" w:fill="FFFFFF"/>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2017</w:t>
            </w:r>
          </w:p>
        </w:tc>
      </w:tr>
      <w:tr w:rsidR="00722944" w:rsidRPr="00C55FB2" w:rsidTr="00F30DC6">
        <w:trPr>
          <w:cantSplit/>
          <w:trHeight w:val="255"/>
        </w:trPr>
        <w:tc>
          <w:tcPr>
            <w:tcW w:w="5235" w:type="dxa"/>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COMISIONES POR PAGAR</w:t>
            </w:r>
          </w:p>
        </w:tc>
        <w:tc>
          <w:tcPr>
            <w:tcW w:w="1939" w:type="dxa"/>
            <w:shd w:val="clear" w:color="auto" w:fill="FFFFFF"/>
            <w:vAlign w:val="bottom"/>
          </w:tcPr>
          <w:p w:rsidR="00722944" w:rsidRPr="00C55FB2" w:rsidRDefault="00B1464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3,928,822.35</w:t>
            </w:r>
          </w:p>
        </w:tc>
        <w:tc>
          <w:tcPr>
            <w:tcW w:w="261" w:type="dxa"/>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C55FB2" w:rsidRDefault="00EE7C5A" w:rsidP="000B4B22">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12,838,890.25</w:t>
            </w:r>
          </w:p>
        </w:tc>
      </w:tr>
    </w:tbl>
    <w:p w:rsidR="00722944" w:rsidRPr="00C55FB2" w:rsidRDefault="00722944" w:rsidP="00722944">
      <w:pPr>
        <w:keepNext/>
        <w:suppressAutoHyphens/>
        <w:spacing w:after="0" w:line="360" w:lineRule="auto"/>
        <w:jc w:val="both"/>
        <w:outlineLvl w:val="1"/>
        <w:rPr>
          <w:rFonts w:ascii="Century" w:eastAsia="Times New Roman" w:hAnsi="Century" w:cs="Times New Roman"/>
          <w:b/>
          <w:bCs/>
          <w:sz w:val="20"/>
          <w:szCs w:val="21"/>
        </w:rPr>
      </w:pPr>
      <w:bookmarkStart w:id="38" w:name="_Toc207181413"/>
      <w:bookmarkStart w:id="39" w:name="_Toc155686900"/>
    </w:p>
    <w:p w:rsidR="0065143A" w:rsidRPr="00C55FB2" w:rsidRDefault="0065143A" w:rsidP="00722944">
      <w:pPr>
        <w:keepNext/>
        <w:suppressAutoHyphens/>
        <w:spacing w:after="0"/>
        <w:jc w:val="both"/>
        <w:outlineLvl w:val="1"/>
        <w:rPr>
          <w:rFonts w:ascii="Century" w:eastAsia="Times New Roman" w:hAnsi="Century" w:cs="Times New Roman"/>
          <w:b/>
          <w:bCs/>
          <w:lang w:eastAsia="es-ES"/>
        </w:rPr>
      </w:pPr>
      <w:bookmarkStart w:id="40" w:name="_Toc208202835"/>
    </w:p>
    <w:p w:rsidR="00722944" w:rsidRPr="00C55FB2" w:rsidRDefault="001B7FB1" w:rsidP="00722944">
      <w:pPr>
        <w:keepNext/>
        <w:suppressAutoHyphens/>
        <w:spacing w:after="0"/>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 xml:space="preserve">Nota </w:t>
      </w:r>
      <w:r w:rsidR="001F7AA0" w:rsidRPr="00C55FB2">
        <w:rPr>
          <w:rFonts w:ascii="Century" w:eastAsia="Times New Roman" w:hAnsi="Century" w:cs="Times New Roman"/>
          <w:b/>
          <w:bCs/>
          <w:lang w:eastAsia="es-ES"/>
        </w:rPr>
        <w:t>X</w:t>
      </w:r>
      <w:r w:rsidR="000C3F6B" w:rsidRPr="00C55FB2">
        <w:rPr>
          <w:rFonts w:ascii="Century" w:eastAsia="Times New Roman" w:hAnsi="Century" w:cs="Times New Roman"/>
          <w:b/>
          <w:bCs/>
          <w:lang w:eastAsia="es-ES"/>
        </w:rPr>
        <w:t>VI</w:t>
      </w:r>
      <w:r w:rsidR="00722944" w:rsidRPr="00C55FB2">
        <w:rPr>
          <w:rFonts w:ascii="Century" w:eastAsia="Times New Roman" w:hAnsi="Century" w:cs="Times New Roman"/>
          <w:b/>
          <w:bCs/>
          <w:lang w:eastAsia="es-ES"/>
        </w:rPr>
        <w:t xml:space="preserve">: Patrimonio del </w:t>
      </w:r>
      <w:bookmarkEnd w:id="38"/>
      <w:bookmarkEnd w:id="39"/>
      <w:bookmarkEnd w:id="40"/>
      <w:r w:rsidR="000B4B22" w:rsidRPr="00C55FB2">
        <w:rPr>
          <w:rFonts w:ascii="Century" w:eastAsia="Times New Roman" w:hAnsi="Century" w:cs="Times New Roman"/>
          <w:b/>
          <w:bCs/>
          <w:lang w:eastAsia="es-ES"/>
        </w:rPr>
        <w:t>Instituto</w:t>
      </w:r>
      <w:r w:rsidR="00722944" w:rsidRPr="00C55FB2">
        <w:rPr>
          <w:rFonts w:ascii="Century" w:eastAsia="Times New Roman" w:hAnsi="Century" w:cs="Times New Roman"/>
          <w:b/>
          <w:bCs/>
          <w:lang w:eastAsia="es-ES"/>
        </w:rPr>
        <w:t xml:space="preserve"> Dominicano del Café</w:t>
      </w:r>
    </w:p>
    <w:p w:rsidR="00722944" w:rsidRPr="00C55FB2" w:rsidRDefault="00722944" w:rsidP="00722944">
      <w:pPr>
        <w:spacing w:after="0"/>
        <w:jc w:val="both"/>
        <w:rPr>
          <w:rFonts w:ascii="Century" w:eastAsia="Times New Roman" w:hAnsi="Century" w:cs="Times New Roman"/>
          <w:b/>
          <w:bCs/>
          <w:szCs w:val="23"/>
        </w:rPr>
      </w:pPr>
    </w:p>
    <w:p w:rsidR="00722944" w:rsidRPr="00C55FB2"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lastRenderedPageBreak/>
        <w:t xml:space="preserve">Durante el periodo fiscal  del  </w:t>
      </w:r>
      <w:r w:rsidR="000B4B22" w:rsidRPr="00C55FB2">
        <w:rPr>
          <w:rFonts w:ascii="Century" w:eastAsia="Times New Roman" w:hAnsi="Century" w:cs="Times New Roman"/>
          <w:bCs/>
        </w:rPr>
        <w:t>3</w:t>
      </w:r>
      <w:r w:rsidR="00A92F9D" w:rsidRPr="00C55FB2">
        <w:rPr>
          <w:rFonts w:ascii="Century" w:eastAsia="Times New Roman" w:hAnsi="Century" w:cs="Times New Roman"/>
          <w:bCs/>
        </w:rPr>
        <w:t>0</w:t>
      </w:r>
      <w:r w:rsidR="00CF56AB" w:rsidRPr="00C55FB2">
        <w:rPr>
          <w:rFonts w:ascii="Century" w:eastAsia="Times New Roman" w:hAnsi="Century" w:cs="Times New Roman"/>
          <w:bCs/>
        </w:rPr>
        <w:t xml:space="preserve"> </w:t>
      </w:r>
      <w:r w:rsidRPr="00C55FB2">
        <w:rPr>
          <w:rFonts w:ascii="Century" w:eastAsia="Times New Roman" w:hAnsi="Century" w:cs="Times New Roman"/>
          <w:bCs/>
        </w:rPr>
        <w:t xml:space="preserve">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al  </w:t>
      </w:r>
      <w:r w:rsidR="000B4B22" w:rsidRPr="00C55FB2">
        <w:rPr>
          <w:rFonts w:ascii="Century" w:eastAsia="Times New Roman" w:hAnsi="Century" w:cs="Times New Roman"/>
        </w:rPr>
        <w:t>3</w:t>
      </w:r>
      <w:r w:rsidR="00485461" w:rsidRPr="00C55FB2">
        <w:rPr>
          <w:rFonts w:ascii="Century" w:eastAsia="Times New Roman" w:hAnsi="Century" w:cs="Times New Roman"/>
        </w:rPr>
        <w:t>0</w:t>
      </w:r>
      <w:r w:rsidRPr="00C55FB2">
        <w:rPr>
          <w:rFonts w:ascii="Century" w:eastAsia="Times New Roman" w:hAnsi="Century" w:cs="Times New Roman"/>
        </w:rPr>
        <w:t xml:space="preserve"> de </w:t>
      </w:r>
      <w:r w:rsidR="00A92F9D" w:rsidRPr="00C55FB2">
        <w:rPr>
          <w:rFonts w:ascii="Century" w:eastAsia="Times New Roman" w:hAnsi="Century" w:cs="Times New Roman"/>
        </w:rPr>
        <w:t>Septiembre</w:t>
      </w:r>
      <w:r w:rsidRPr="00C55FB2">
        <w:rPr>
          <w:rFonts w:ascii="Century" w:eastAsia="Times New Roman" w:hAnsi="Century" w:cs="Times New Roman"/>
        </w:rPr>
        <w:t xml:space="preserve"> del período fiscal 2017</w:t>
      </w:r>
      <w:r w:rsidRPr="00C55FB2">
        <w:rPr>
          <w:rFonts w:ascii="Century" w:eastAsia="Times New Roman" w:hAnsi="Century" w:cs="Times New Roman"/>
          <w:bCs/>
        </w:rPr>
        <w:t xml:space="preserve">,  </w:t>
      </w:r>
      <w:r w:rsidRPr="00C55FB2">
        <w:rPr>
          <w:rFonts w:ascii="Century" w:eastAsia="Times New Roman" w:hAnsi="Century" w:cs="Times New Roman"/>
        </w:rPr>
        <w:t xml:space="preserve">el capital institucional   del </w:t>
      </w:r>
      <w:r w:rsidR="00FD7529" w:rsidRPr="00C55FB2">
        <w:rPr>
          <w:rFonts w:ascii="Century" w:eastAsia="Times New Roman" w:hAnsi="Century" w:cs="Times New Roman"/>
        </w:rPr>
        <w:t>Instituto</w:t>
      </w:r>
      <w:r w:rsidRPr="00C55FB2">
        <w:rPr>
          <w:rFonts w:ascii="Century" w:eastAsia="Times New Roman" w:hAnsi="Century" w:cs="Times New Roman"/>
        </w:rPr>
        <w:t xml:space="preserve"> Dominicano del Café tiene un balance de RD$</w:t>
      </w:r>
      <w:r w:rsidR="00637998" w:rsidRPr="00C55FB2">
        <w:rPr>
          <w:rFonts w:ascii="Century" w:eastAsia="Times New Roman" w:hAnsi="Century" w:cs="Times New Roman"/>
        </w:rPr>
        <w:t>322,687,864.42</w:t>
      </w:r>
      <w:r w:rsidRPr="00C55FB2">
        <w:rPr>
          <w:rFonts w:ascii="Century" w:eastAsia="Times New Roman" w:hAnsi="Century" w:cs="Times New Roman"/>
          <w:bCs/>
        </w:rPr>
        <w:t xml:space="preserve">  y </w:t>
      </w:r>
      <w:r w:rsidRPr="00C55FB2">
        <w:rPr>
          <w:rFonts w:ascii="Century" w:eastAsia="Times New Roman" w:hAnsi="Century" w:cs="Times New Roman"/>
        </w:rPr>
        <w:t>RD$</w:t>
      </w:r>
      <w:r w:rsidR="00847BA5" w:rsidRPr="00C55FB2">
        <w:rPr>
          <w:rFonts w:ascii="Century" w:eastAsia="Times New Roman" w:hAnsi="Century" w:cs="Times New Roman"/>
        </w:rPr>
        <w:t>346,255,916.75</w:t>
      </w:r>
    </w:p>
    <w:p w:rsidR="009773E6" w:rsidRPr="00C55FB2" w:rsidRDefault="009773E6" w:rsidP="00722944">
      <w:pPr>
        <w:spacing w:after="0"/>
        <w:jc w:val="both"/>
        <w:rPr>
          <w:rFonts w:ascii="Century" w:eastAsia="Times New Roman" w:hAnsi="Century" w:cs="Times New Roman"/>
          <w:bCs/>
        </w:rPr>
      </w:pPr>
    </w:p>
    <w:p w:rsidR="009773E6" w:rsidRPr="00C55FB2" w:rsidRDefault="009773E6" w:rsidP="00722944">
      <w:pPr>
        <w:spacing w:after="0"/>
        <w:jc w:val="both"/>
        <w:rPr>
          <w:rFonts w:ascii="Century" w:eastAsia="Times New Roman" w:hAnsi="Century" w:cs="Times New Roman"/>
          <w:bCs/>
        </w:rPr>
      </w:pPr>
    </w:p>
    <w:tbl>
      <w:tblPr>
        <w:tblW w:w="8804" w:type="dxa"/>
        <w:tblInd w:w="93" w:type="dxa"/>
        <w:tblLook w:val="0000" w:firstRow="0" w:lastRow="0" w:firstColumn="0" w:lastColumn="0" w:noHBand="0" w:noVBand="0"/>
      </w:tblPr>
      <w:tblGrid>
        <w:gridCol w:w="4875"/>
        <w:gridCol w:w="2000"/>
        <w:gridCol w:w="236"/>
        <w:gridCol w:w="1693"/>
      </w:tblGrid>
      <w:tr w:rsidR="009773E6" w:rsidRPr="00C55FB2" w:rsidTr="00953338">
        <w:trPr>
          <w:trHeight w:val="255"/>
        </w:trPr>
        <w:tc>
          <w:tcPr>
            <w:tcW w:w="4875" w:type="dxa"/>
            <w:vAlign w:val="bottom"/>
          </w:tcPr>
          <w:p w:rsidR="009773E6" w:rsidRPr="00C55FB2" w:rsidRDefault="009773E6" w:rsidP="00B52307">
            <w:pPr>
              <w:spacing w:after="0" w:line="240" w:lineRule="auto"/>
              <w:jc w:val="both"/>
              <w:rPr>
                <w:rFonts w:ascii="Century" w:eastAsia="Times New Roman" w:hAnsi="Century" w:cs="Times New Roman"/>
                <w:b/>
                <w:bCs/>
                <w:color w:val="000000"/>
              </w:rPr>
            </w:pPr>
            <w:r w:rsidRPr="00C55FB2">
              <w:rPr>
                <w:rFonts w:ascii="Century" w:eastAsia="Times New Roman" w:hAnsi="Century" w:cs="Times New Roman"/>
                <w:b/>
                <w:bCs/>
                <w:color w:val="000000"/>
              </w:rPr>
              <w:t>DESCRIPCION</w:t>
            </w:r>
          </w:p>
        </w:tc>
        <w:tc>
          <w:tcPr>
            <w:tcW w:w="2000" w:type="dxa"/>
            <w:vAlign w:val="bottom"/>
          </w:tcPr>
          <w:p w:rsidR="009773E6" w:rsidRPr="00C55FB2" w:rsidRDefault="00415F05" w:rsidP="00B52307">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7"/>
              </w:rPr>
              <w:t>2018</w:t>
            </w:r>
          </w:p>
        </w:tc>
        <w:tc>
          <w:tcPr>
            <w:tcW w:w="236" w:type="dxa"/>
          </w:tcPr>
          <w:p w:rsidR="009773E6" w:rsidRPr="00C55FB2" w:rsidRDefault="009773E6" w:rsidP="00B52307">
            <w:pPr>
              <w:spacing w:after="0" w:line="240" w:lineRule="auto"/>
              <w:jc w:val="both"/>
              <w:rPr>
                <w:rFonts w:ascii="Century" w:eastAsia="Times New Roman" w:hAnsi="Century" w:cs="Times New Roman"/>
                <w:b/>
                <w:bCs/>
                <w:color w:val="000000"/>
                <w:sz w:val="16"/>
                <w:szCs w:val="17"/>
              </w:rPr>
            </w:pPr>
          </w:p>
        </w:tc>
        <w:tc>
          <w:tcPr>
            <w:tcW w:w="1693" w:type="dxa"/>
            <w:vAlign w:val="bottom"/>
          </w:tcPr>
          <w:p w:rsidR="009773E6" w:rsidRPr="00C55FB2" w:rsidRDefault="00415F05" w:rsidP="00B52307">
            <w:pPr>
              <w:spacing w:after="0" w:line="240" w:lineRule="auto"/>
              <w:jc w:val="right"/>
              <w:rPr>
                <w:rFonts w:ascii="Century" w:eastAsia="Times New Roman" w:hAnsi="Century" w:cs="Times New Roman"/>
                <w:b/>
                <w:bCs/>
                <w:color w:val="000000"/>
                <w:sz w:val="16"/>
                <w:szCs w:val="17"/>
              </w:rPr>
            </w:pPr>
            <w:r w:rsidRPr="00C55FB2">
              <w:rPr>
                <w:rFonts w:ascii="Century" w:eastAsia="Times New Roman" w:hAnsi="Century" w:cs="Times New Roman"/>
                <w:b/>
                <w:bCs/>
                <w:color w:val="000000"/>
                <w:sz w:val="16"/>
                <w:szCs w:val="17"/>
              </w:rPr>
              <w:t>2017</w:t>
            </w:r>
          </w:p>
        </w:tc>
      </w:tr>
      <w:tr w:rsidR="009773E6" w:rsidRPr="00C55FB2" w:rsidTr="00822620">
        <w:trPr>
          <w:trHeight w:val="255"/>
        </w:trPr>
        <w:tc>
          <w:tcPr>
            <w:tcW w:w="4875" w:type="dxa"/>
            <w:vAlign w:val="bottom"/>
          </w:tcPr>
          <w:p w:rsidR="009773E6" w:rsidRPr="00C55FB2" w:rsidRDefault="00415F05" w:rsidP="00560DAC">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Patrimonio inicial</w:t>
            </w:r>
            <w:r w:rsidR="0084740F" w:rsidRPr="00C55FB2">
              <w:rPr>
                <w:rFonts w:ascii="Century" w:eastAsia="Times New Roman" w:hAnsi="Century" w:cs="Times New Roman"/>
                <w:sz w:val="16"/>
                <w:szCs w:val="16"/>
              </w:rPr>
              <w:t xml:space="preserve"> al </w:t>
            </w:r>
            <w:r w:rsidRPr="00C55FB2">
              <w:rPr>
                <w:rFonts w:ascii="Century" w:eastAsia="Times New Roman" w:hAnsi="Century" w:cs="Times New Roman"/>
                <w:sz w:val="16"/>
                <w:szCs w:val="16"/>
              </w:rPr>
              <w:t>01/0</w:t>
            </w:r>
            <w:r w:rsidR="00560DAC" w:rsidRPr="00C55FB2">
              <w:rPr>
                <w:rFonts w:ascii="Century" w:eastAsia="Times New Roman" w:hAnsi="Century" w:cs="Times New Roman"/>
                <w:sz w:val="16"/>
                <w:szCs w:val="16"/>
              </w:rPr>
              <w:t>8</w:t>
            </w:r>
            <w:r w:rsidRPr="00C55FB2">
              <w:rPr>
                <w:rFonts w:ascii="Century" w:eastAsia="Times New Roman" w:hAnsi="Century" w:cs="Times New Roman"/>
                <w:sz w:val="16"/>
                <w:szCs w:val="16"/>
              </w:rPr>
              <w:t>/2018</w:t>
            </w:r>
          </w:p>
        </w:tc>
        <w:tc>
          <w:tcPr>
            <w:tcW w:w="2000" w:type="dxa"/>
            <w:noWrap/>
            <w:vAlign w:val="bottom"/>
          </w:tcPr>
          <w:p w:rsidR="009773E6" w:rsidRPr="00C55FB2" w:rsidRDefault="00156087" w:rsidP="00B52307">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322,687,864.42</w:t>
            </w:r>
          </w:p>
        </w:tc>
        <w:tc>
          <w:tcPr>
            <w:tcW w:w="236" w:type="dxa"/>
          </w:tcPr>
          <w:p w:rsidR="009773E6" w:rsidRPr="00C55FB2"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C55FB2" w:rsidRDefault="00847BA5" w:rsidP="0066150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346,255,916.75</w:t>
            </w:r>
          </w:p>
        </w:tc>
      </w:tr>
      <w:tr w:rsidR="009773E6" w:rsidRPr="00C55FB2" w:rsidTr="00B52307">
        <w:trPr>
          <w:trHeight w:val="255"/>
        </w:trPr>
        <w:tc>
          <w:tcPr>
            <w:tcW w:w="4875" w:type="dxa"/>
            <w:vAlign w:val="bottom"/>
          </w:tcPr>
          <w:p w:rsidR="009773E6" w:rsidRPr="00C55FB2" w:rsidRDefault="0084740F" w:rsidP="00602E7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Ajuste</w:t>
            </w:r>
            <w:r w:rsidR="00415F05" w:rsidRPr="00C55FB2">
              <w:rPr>
                <w:rFonts w:ascii="Century" w:eastAsia="Times New Roman" w:hAnsi="Century" w:cs="Times New Roman"/>
                <w:sz w:val="16"/>
                <w:szCs w:val="16"/>
              </w:rPr>
              <w:t xml:space="preserve"> a los resultados </w:t>
            </w:r>
            <w:r w:rsidRPr="00C55FB2">
              <w:rPr>
                <w:rFonts w:ascii="Century" w:eastAsia="Times New Roman" w:hAnsi="Century" w:cs="Times New Roman"/>
                <w:sz w:val="16"/>
                <w:szCs w:val="16"/>
              </w:rPr>
              <w:t xml:space="preserve"> </w:t>
            </w:r>
            <w:r w:rsidR="00415F05" w:rsidRPr="00C55FB2">
              <w:rPr>
                <w:rFonts w:ascii="Century" w:eastAsia="Times New Roman" w:hAnsi="Century" w:cs="Times New Roman"/>
                <w:sz w:val="16"/>
                <w:szCs w:val="16"/>
              </w:rPr>
              <w:t xml:space="preserve">de </w:t>
            </w:r>
            <w:r w:rsidR="00602E74" w:rsidRPr="00C55FB2">
              <w:rPr>
                <w:rFonts w:ascii="Century" w:eastAsia="Times New Roman" w:hAnsi="Century" w:cs="Times New Roman"/>
                <w:sz w:val="16"/>
                <w:szCs w:val="16"/>
              </w:rPr>
              <w:t>años</w:t>
            </w:r>
            <w:r w:rsidRPr="00C55FB2">
              <w:rPr>
                <w:rFonts w:ascii="Century" w:eastAsia="Times New Roman" w:hAnsi="Century" w:cs="Times New Roman"/>
                <w:sz w:val="16"/>
                <w:szCs w:val="16"/>
              </w:rPr>
              <w:t xml:space="preserve"> anteriores</w:t>
            </w:r>
          </w:p>
        </w:tc>
        <w:tc>
          <w:tcPr>
            <w:tcW w:w="2000" w:type="dxa"/>
            <w:noWrap/>
            <w:vAlign w:val="bottom"/>
          </w:tcPr>
          <w:p w:rsidR="00D908F0" w:rsidRPr="00C55FB2" w:rsidRDefault="00D908F0" w:rsidP="00602E7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 xml:space="preserve">              </w:t>
            </w:r>
            <w:r w:rsidR="00B032C2" w:rsidRPr="00C55FB2">
              <w:rPr>
                <w:rFonts w:ascii="Century" w:eastAsia="Times New Roman" w:hAnsi="Century" w:cs="Times New Roman"/>
                <w:sz w:val="16"/>
                <w:szCs w:val="17"/>
              </w:rPr>
              <w:t xml:space="preserve">                    </w:t>
            </w:r>
            <w:r w:rsidR="00602E74" w:rsidRPr="00C55FB2">
              <w:rPr>
                <w:rFonts w:ascii="Century" w:eastAsia="Times New Roman" w:hAnsi="Century" w:cs="Times New Roman"/>
                <w:sz w:val="16"/>
                <w:szCs w:val="17"/>
              </w:rPr>
              <w:t>54,345,549.18</w:t>
            </w:r>
          </w:p>
        </w:tc>
        <w:tc>
          <w:tcPr>
            <w:tcW w:w="236" w:type="dxa"/>
          </w:tcPr>
          <w:p w:rsidR="009773E6" w:rsidRPr="00C55FB2" w:rsidRDefault="009773E6" w:rsidP="00B032C2">
            <w:pPr>
              <w:spacing w:after="0" w:line="240" w:lineRule="auto"/>
              <w:jc w:val="right"/>
              <w:rPr>
                <w:rFonts w:ascii="Century" w:eastAsia="Times New Roman" w:hAnsi="Century" w:cs="Times New Roman"/>
                <w:sz w:val="16"/>
                <w:szCs w:val="17"/>
              </w:rPr>
            </w:pPr>
          </w:p>
        </w:tc>
        <w:tc>
          <w:tcPr>
            <w:tcW w:w="1693" w:type="dxa"/>
            <w:noWrap/>
            <w:vAlign w:val="bottom"/>
          </w:tcPr>
          <w:p w:rsidR="009773E6" w:rsidRPr="00C55FB2" w:rsidRDefault="00AB2425" w:rsidP="00FE3B33">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27,991,833.44</w:t>
            </w:r>
          </w:p>
        </w:tc>
      </w:tr>
      <w:tr w:rsidR="009773E6" w:rsidRPr="00C55FB2" w:rsidTr="00953338">
        <w:trPr>
          <w:trHeight w:val="270"/>
        </w:trPr>
        <w:tc>
          <w:tcPr>
            <w:tcW w:w="4875" w:type="dxa"/>
            <w:vAlign w:val="bottom"/>
          </w:tcPr>
          <w:p w:rsidR="0084740F" w:rsidRPr="00C55FB2" w:rsidRDefault="009A488D" w:rsidP="00B52307">
            <w:pPr>
              <w:spacing w:after="0" w:line="240" w:lineRule="auto"/>
              <w:jc w:val="both"/>
              <w:rPr>
                <w:rFonts w:ascii="Century" w:eastAsia="Times New Roman" w:hAnsi="Century" w:cs="Times New Roman"/>
                <w:bCs/>
                <w:iCs/>
                <w:sz w:val="16"/>
                <w:szCs w:val="16"/>
              </w:rPr>
            </w:pPr>
            <w:r w:rsidRPr="00C55FB2">
              <w:rPr>
                <w:rFonts w:ascii="Century" w:eastAsia="Times New Roman" w:hAnsi="Century" w:cs="Times New Roman"/>
                <w:bCs/>
                <w:iCs/>
                <w:sz w:val="16"/>
                <w:szCs w:val="16"/>
              </w:rPr>
              <w:t>Resu</w:t>
            </w:r>
            <w:r w:rsidR="00560DAC" w:rsidRPr="00C55FB2">
              <w:rPr>
                <w:rFonts w:ascii="Century" w:eastAsia="Times New Roman" w:hAnsi="Century" w:cs="Times New Roman"/>
                <w:bCs/>
                <w:iCs/>
                <w:sz w:val="16"/>
                <w:szCs w:val="16"/>
              </w:rPr>
              <w:t>ltados de ejercicios anteriores</w:t>
            </w:r>
            <w:r w:rsidR="00A2363F" w:rsidRPr="00C55FB2">
              <w:rPr>
                <w:rFonts w:ascii="Century" w:eastAsia="Times New Roman" w:hAnsi="Century" w:cs="Times New Roman"/>
                <w:bCs/>
                <w:iCs/>
                <w:sz w:val="16"/>
                <w:szCs w:val="16"/>
              </w:rPr>
              <w:t xml:space="preserve">                                     </w:t>
            </w:r>
            <w:r w:rsidR="004731D8" w:rsidRPr="00C55FB2">
              <w:rPr>
                <w:rFonts w:ascii="Century" w:eastAsia="Times New Roman" w:hAnsi="Century" w:cs="Times New Roman"/>
                <w:bCs/>
                <w:iCs/>
                <w:sz w:val="16"/>
                <w:szCs w:val="16"/>
              </w:rPr>
              <w:t xml:space="preserve">  </w:t>
            </w:r>
            <w:r w:rsidR="00A2363F" w:rsidRPr="00C55FB2">
              <w:rPr>
                <w:rFonts w:ascii="Century" w:eastAsia="Times New Roman" w:hAnsi="Century" w:cs="Times New Roman"/>
                <w:bCs/>
                <w:iCs/>
                <w:sz w:val="16"/>
                <w:szCs w:val="16"/>
              </w:rPr>
              <w:t xml:space="preserve">         </w:t>
            </w:r>
          </w:p>
        </w:tc>
        <w:tc>
          <w:tcPr>
            <w:tcW w:w="2000" w:type="dxa"/>
            <w:tcBorders>
              <w:left w:val="nil"/>
              <w:right w:val="nil"/>
            </w:tcBorders>
            <w:noWrap/>
            <w:vAlign w:val="bottom"/>
          </w:tcPr>
          <w:p w:rsidR="009773E6" w:rsidRPr="00C55FB2" w:rsidRDefault="00602E74" w:rsidP="00602E74">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39,154,137,137.8</w:t>
            </w:r>
          </w:p>
        </w:tc>
        <w:tc>
          <w:tcPr>
            <w:tcW w:w="236" w:type="dxa"/>
          </w:tcPr>
          <w:p w:rsidR="009773E6" w:rsidRPr="00C55FB2" w:rsidRDefault="009773E6" w:rsidP="00B52307">
            <w:pPr>
              <w:spacing w:after="0" w:line="240" w:lineRule="auto"/>
              <w:jc w:val="both"/>
              <w:rPr>
                <w:rFonts w:ascii="Century" w:eastAsia="Times New Roman" w:hAnsi="Century" w:cs="Times New Roman"/>
                <w:bCs/>
                <w:sz w:val="16"/>
                <w:szCs w:val="17"/>
              </w:rPr>
            </w:pPr>
          </w:p>
        </w:tc>
        <w:tc>
          <w:tcPr>
            <w:tcW w:w="1693" w:type="dxa"/>
            <w:tcBorders>
              <w:left w:val="nil"/>
              <w:right w:val="nil"/>
            </w:tcBorders>
            <w:noWrap/>
            <w:vAlign w:val="bottom"/>
          </w:tcPr>
          <w:p w:rsidR="009773E6" w:rsidRPr="00C55FB2" w:rsidRDefault="00847BA5" w:rsidP="00847BA5">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62,333,873.17</w:t>
            </w:r>
          </w:p>
        </w:tc>
      </w:tr>
    </w:tbl>
    <w:p w:rsidR="009773E6" w:rsidRPr="00C55FB2" w:rsidRDefault="00560DAC" w:rsidP="00722944">
      <w:pPr>
        <w:spacing w:after="0"/>
        <w:jc w:val="both"/>
        <w:rPr>
          <w:rFonts w:ascii="Century" w:eastAsia="Times New Roman" w:hAnsi="Century" w:cs="Times New Roman"/>
          <w:bCs/>
        </w:rPr>
      </w:pPr>
      <w:r w:rsidRPr="00C55FB2">
        <w:rPr>
          <w:rFonts w:ascii="Century" w:eastAsia="Times New Roman" w:hAnsi="Century" w:cs="Times New Roman"/>
          <w:bCs/>
        </w:rPr>
        <w:t>R</w:t>
      </w:r>
      <w:r w:rsidR="00415F05" w:rsidRPr="00C55FB2">
        <w:rPr>
          <w:rFonts w:ascii="Century" w:eastAsia="Times New Roman" w:hAnsi="Century" w:cs="Times New Roman"/>
          <w:bCs/>
        </w:rPr>
        <w:t>esultado</w:t>
      </w:r>
      <w:r w:rsidR="00D97663" w:rsidRPr="00C55FB2">
        <w:rPr>
          <w:rFonts w:ascii="Century" w:eastAsia="Times New Roman" w:hAnsi="Century" w:cs="Times New Roman"/>
          <w:bCs/>
        </w:rPr>
        <w:t xml:space="preserve"> del</w:t>
      </w:r>
      <w:r w:rsidR="00415F05" w:rsidRPr="00C55FB2">
        <w:rPr>
          <w:rFonts w:ascii="Century" w:eastAsia="Times New Roman" w:hAnsi="Century" w:cs="Times New Roman"/>
          <w:bCs/>
        </w:rPr>
        <w:t xml:space="preserve"> Eje</w:t>
      </w:r>
      <w:r w:rsidR="009A488D" w:rsidRPr="00C55FB2">
        <w:rPr>
          <w:rFonts w:ascii="Century" w:eastAsia="Times New Roman" w:hAnsi="Century" w:cs="Times New Roman"/>
          <w:bCs/>
        </w:rPr>
        <w:t>r</w:t>
      </w:r>
      <w:r w:rsidR="00415F05" w:rsidRPr="00C55FB2">
        <w:rPr>
          <w:rFonts w:ascii="Century" w:eastAsia="Times New Roman" w:hAnsi="Century" w:cs="Times New Roman"/>
          <w:bCs/>
        </w:rPr>
        <w:t>cicios</w:t>
      </w:r>
      <w:r w:rsidR="00415F05" w:rsidRPr="00C55FB2">
        <w:rPr>
          <w:rFonts w:ascii="Century" w:eastAsia="Times New Roman" w:hAnsi="Century" w:cs="Times New Roman"/>
          <w:bCs/>
        </w:rPr>
        <w:tab/>
      </w:r>
      <w:r w:rsidR="00D97663" w:rsidRPr="00C55FB2">
        <w:rPr>
          <w:rFonts w:ascii="Century" w:eastAsia="Times New Roman" w:hAnsi="Century" w:cs="Times New Roman"/>
          <w:bCs/>
        </w:rPr>
        <w:t xml:space="preserve">   </w:t>
      </w:r>
      <w:r w:rsidR="00156087" w:rsidRPr="00C55FB2">
        <w:rPr>
          <w:rFonts w:ascii="Century" w:eastAsia="Times New Roman" w:hAnsi="Century" w:cs="Times New Roman"/>
          <w:bCs/>
        </w:rPr>
        <w:tab/>
      </w:r>
      <w:r w:rsidR="00156087" w:rsidRPr="00C55FB2">
        <w:rPr>
          <w:rFonts w:ascii="Century" w:eastAsia="Times New Roman" w:hAnsi="Century" w:cs="Times New Roman"/>
          <w:bCs/>
        </w:rPr>
        <w:tab/>
        <w:t xml:space="preserve">       </w:t>
      </w:r>
      <w:r w:rsidR="00AF7C3F" w:rsidRPr="00C55FB2">
        <w:rPr>
          <w:rFonts w:ascii="Century" w:eastAsia="Times New Roman" w:hAnsi="Century" w:cs="Times New Roman"/>
          <w:bCs/>
        </w:rPr>
        <w:t xml:space="preserve">              </w:t>
      </w:r>
      <w:r w:rsidR="00D908F0" w:rsidRPr="00C55FB2">
        <w:rPr>
          <w:rFonts w:ascii="Century" w:eastAsia="Times New Roman" w:hAnsi="Century" w:cs="Times New Roman"/>
          <w:bCs/>
          <w:sz w:val="16"/>
          <w:szCs w:val="17"/>
        </w:rPr>
        <w:t>21</w:t>
      </w:r>
      <w:proofErr w:type="gramStart"/>
      <w:r w:rsidR="00D908F0" w:rsidRPr="00C55FB2">
        <w:rPr>
          <w:rFonts w:ascii="Century" w:eastAsia="Times New Roman" w:hAnsi="Century" w:cs="Times New Roman"/>
          <w:bCs/>
          <w:sz w:val="16"/>
          <w:szCs w:val="17"/>
        </w:rPr>
        <w:t>,083,706.69</w:t>
      </w:r>
      <w:proofErr w:type="gramEnd"/>
      <w:r w:rsidR="00AF7C3F" w:rsidRPr="00C55FB2">
        <w:rPr>
          <w:rFonts w:ascii="Century" w:eastAsia="Times New Roman" w:hAnsi="Century" w:cs="Times New Roman"/>
          <w:bCs/>
        </w:rPr>
        <w:t xml:space="preserve">    </w:t>
      </w:r>
      <w:r w:rsidR="00775241" w:rsidRPr="00C55FB2">
        <w:rPr>
          <w:rFonts w:ascii="Century" w:eastAsia="Times New Roman" w:hAnsi="Century" w:cs="Times New Roman"/>
          <w:sz w:val="16"/>
          <w:szCs w:val="17"/>
        </w:rPr>
        <w:t xml:space="preserve">          </w:t>
      </w:r>
      <w:r w:rsidR="00AB2425" w:rsidRPr="00C55FB2">
        <w:rPr>
          <w:rFonts w:ascii="Century" w:eastAsia="Times New Roman" w:hAnsi="Century" w:cs="Times New Roman"/>
          <w:sz w:val="16"/>
          <w:szCs w:val="17"/>
        </w:rPr>
        <w:t>32,666,459.66</w:t>
      </w:r>
    </w:p>
    <w:p w:rsidR="00415F05" w:rsidRPr="00C55FB2" w:rsidRDefault="00156087" w:rsidP="00722944">
      <w:pPr>
        <w:spacing w:after="0"/>
        <w:jc w:val="both"/>
        <w:rPr>
          <w:rFonts w:ascii="Century" w:eastAsia="Times New Roman" w:hAnsi="Century" w:cs="Times New Roman"/>
          <w:bCs/>
        </w:rPr>
      </w:pPr>
      <w:r w:rsidRPr="00C55FB2">
        <w:rPr>
          <w:rFonts w:ascii="Century" w:eastAsia="Times New Roman" w:hAnsi="Century" w:cs="Times New Roman"/>
          <w:bCs/>
        </w:rPr>
        <w:t xml:space="preserve">Total de Patrimonio neto </w:t>
      </w:r>
      <w:r w:rsidRPr="00C55FB2">
        <w:rPr>
          <w:rFonts w:ascii="Century" w:eastAsia="Times New Roman" w:hAnsi="Century" w:cs="Times New Roman"/>
          <w:bCs/>
        </w:rPr>
        <w:tab/>
      </w:r>
      <w:r w:rsidRPr="00C55FB2">
        <w:rPr>
          <w:rFonts w:ascii="Century" w:eastAsia="Times New Roman" w:hAnsi="Century" w:cs="Times New Roman"/>
          <w:bCs/>
        </w:rPr>
        <w:tab/>
        <w:t xml:space="preserve">      </w:t>
      </w:r>
      <w:r w:rsidR="00953338" w:rsidRPr="00C55FB2">
        <w:rPr>
          <w:rFonts w:ascii="Century" w:eastAsia="Times New Roman" w:hAnsi="Century" w:cs="Times New Roman"/>
          <w:bCs/>
        </w:rPr>
        <w:t xml:space="preserve">      </w:t>
      </w:r>
      <w:r w:rsidR="00AF7C3F" w:rsidRPr="00C55FB2">
        <w:rPr>
          <w:rFonts w:ascii="Century" w:eastAsia="Times New Roman" w:hAnsi="Century" w:cs="Times New Roman"/>
          <w:bCs/>
        </w:rPr>
        <w:t xml:space="preserve">     </w:t>
      </w:r>
      <w:r w:rsidRPr="00C55FB2">
        <w:rPr>
          <w:rFonts w:ascii="Century" w:eastAsia="Times New Roman" w:hAnsi="Century" w:cs="Times New Roman"/>
          <w:bCs/>
        </w:rPr>
        <w:t xml:space="preserve">            </w:t>
      </w:r>
      <w:r w:rsidR="00AF7C3F" w:rsidRPr="00C55FB2">
        <w:rPr>
          <w:rFonts w:ascii="Century" w:eastAsia="Times New Roman" w:hAnsi="Century" w:cs="Times New Roman"/>
          <w:bCs/>
        </w:rPr>
        <w:t xml:space="preserve"> </w:t>
      </w:r>
      <w:r w:rsidR="00B032C2" w:rsidRPr="00C55FB2">
        <w:rPr>
          <w:rFonts w:ascii="Century" w:eastAsia="Times New Roman" w:hAnsi="Century" w:cs="Times New Roman"/>
          <w:bCs/>
          <w:sz w:val="16"/>
          <w:szCs w:val="17"/>
        </w:rPr>
        <w:t>466</w:t>
      </w:r>
      <w:proofErr w:type="gramStart"/>
      <w:r w:rsidR="00B032C2" w:rsidRPr="00C55FB2">
        <w:rPr>
          <w:rFonts w:ascii="Century" w:eastAsia="Times New Roman" w:hAnsi="Century" w:cs="Times New Roman"/>
          <w:bCs/>
          <w:sz w:val="16"/>
          <w:szCs w:val="17"/>
        </w:rPr>
        <w:t>,014,125.97</w:t>
      </w:r>
      <w:proofErr w:type="gramEnd"/>
      <w:r w:rsidR="00415F05" w:rsidRPr="00C55FB2">
        <w:rPr>
          <w:rFonts w:ascii="Century" w:eastAsia="Times New Roman" w:hAnsi="Century" w:cs="Times New Roman"/>
          <w:bCs/>
        </w:rPr>
        <w:tab/>
      </w:r>
      <w:r w:rsidR="000169F7" w:rsidRPr="00C55FB2">
        <w:rPr>
          <w:rFonts w:ascii="Century" w:eastAsia="Times New Roman" w:hAnsi="Century" w:cs="Times New Roman"/>
          <w:bCs/>
        </w:rPr>
        <w:t xml:space="preserve">      </w:t>
      </w:r>
      <w:r w:rsidR="00AB2425" w:rsidRPr="00C55FB2">
        <w:rPr>
          <w:rFonts w:ascii="Century" w:eastAsia="Times New Roman" w:hAnsi="Century" w:cs="Times New Roman"/>
          <w:sz w:val="16"/>
          <w:szCs w:val="17"/>
        </w:rPr>
        <w:t>469,248,083.02</w:t>
      </w:r>
    </w:p>
    <w:p w:rsidR="009773E6" w:rsidRPr="00C55FB2" w:rsidRDefault="009773E6" w:rsidP="00722944">
      <w:pPr>
        <w:spacing w:after="0"/>
        <w:jc w:val="both"/>
        <w:rPr>
          <w:rFonts w:ascii="Century" w:eastAsia="Times New Roman" w:hAnsi="Century" w:cs="Times New Roman"/>
          <w:bCs/>
        </w:rPr>
      </w:pPr>
    </w:p>
    <w:p w:rsidR="009773E6" w:rsidRPr="00C55FB2" w:rsidRDefault="009773E6" w:rsidP="00722944">
      <w:pPr>
        <w:spacing w:after="0"/>
        <w:jc w:val="both"/>
        <w:rPr>
          <w:rFonts w:ascii="Century" w:eastAsia="Times New Roman" w:hAnsi="Century" w:cs="Times New Roman"/>
          <w:bCs/>
        </w:rPr>
      </w:pPr>
    </w:p>
    <w:p w:rsidR="00722944" w:rsidRPr="00C55FB2" w:rsidRDefault="00722944" w:rsidP="00722944">
      <w:pPr>
        <w:spacing w:after="0"/>
        <w:jc w:val="both"/>
        <w:rPr>
          <w:rFonts w:ascii="Century" w:eastAsia="Times New Roman" w:hAnsi="Century" w:cs="Times New Roman"/>
          <w:b/>
          <w:bCs/>
        </w:rPr>
      </w:pPr>
    </w:p>
    <w:p w:rsidR="00722944" w:rsidRPr="00C55FB2" w:rsidRDefault="00722944" w:rsidP="00722944">
      <w:pPr>
        <w:keepNext/>
        <w:suppressAutoHyphens/>
        <w:spacing w:after="0"/>
        <w:jc w:val="both"/>
        <w:outlineLvl w:val="1"/>
        <w:rPr>
          <w:rFonts w:ascii="Century" w:eastAsia="Times New Roman" w:hAnsi="Century" w:cs="Times New Roman"/>
          <w:b/>
          <w:bCs/>
          <w:lang w:eastAsia="es-ES"/>
        </w:rPr>
      </w:pPr>
      <w:bookmarkStart w:id="41" w:name="_Toc207181418"/>
      <w:bookmarkStart w:id="42" w:name="_Toc155686904"/>
      <w:bookmarkStart w:id="43" w:name="_Toc208202838"/>
      <w:r w:rsidRPr="00C55FB2">
        <w:rPr>
          <w:rFonts w:ascii="Century" w:eastAsia="Times New Roman" w:hAnsi="Century" w:cs="Times New Roman"/>
          <w:b/>
          <w:bCs/>
          <w:lang w:eastAsia="es-ES"/>
        </w:rPr>
        <w:t>ESTADO DE RESULTADOS</w:t>
      </w:r>
      <w:bookmarkEnd w:id="41"/>
      <w:bookmarkEnd w:id="42"/>
      <w:bookmarkEnd w:id="43"/>
    </w:p>
    <w:p w:rsidR="00722944" w:rsidRPr="00C55FB2" w:rsidRDefault="00722944" w:rsidP="00722944">
      <w:pPr>
        <w:spacing w:after="0"/>
        <w:jc w:val="both"/>
        <w:rPr>
          <w:rFonts w:ascii="Century" w:eastAsia="Times New Roman" w:hAnsi="Century" w:cs="Times New Roman"/>
          <w:b/>
          <w:bCs/>
          <w:szCs w:val="23"/>
          <w:lang w:val="es-ES" w:eastAsia="es-ES"/>
        </w:rPr>
      </w:pPr>
      <w:r w:rsidRPr="00C55FB2">
        <w:rPr>
          <w:rFonts w:ascii="Century" w:eastAsia="Times New Roman" w:hAnsi="Century" w:cs="Times New Roman"/>
          <w:b/>
          <w:bCs/>
          <w:lang w:val="es-ES" w:eastAsia="es-ES"/>
        </w:rPr>
        <w:tab/>
      </w:r>
    </w:p>
    <w:p w:rsidR="00722944" w:rsidRPr="00C55FB2" w:rsidRDefault="00722944" w:rsidP="00722944">
      <w:pPr>
        <w:keepNext/>
        <w:suppressAutoHyphens/>
        <w:spacing w:after="0"/>
        <w:jc w:val="both"/>
        <w:outlineLvl w:val="1"/>
        <w:rPr>
          <w:rFonts w:ascii="Century" w:eastAsia="Times New Roman" w:hAnsi="Century" w:cs="Times New Roman"/>
          <w:b/>
          <w:bCs/>
          <w:lang w:eastAsia="es-ES"/>
        </w:rPr>
      </w:pPr>
      <w:bookmarkStart w:id="44" w:name="_Toc208202839"/>
      <w:bookmarkStart w:id="45" w:name="_Toc207181419"/>
      <w:bookmarkStart w:id="46" w:name="_Toc155686905"/>
      <w:r w:rsidRPr="00C55FB2">
        <w:rPr>
          <w:rFonts w:ascii="Century" w:eastAsia="Times New Roman" w:hAnsi="Century" w:cs="Times New Roman"/>
          <w:b/>
          <w:bCs/>
          <w:lang w:eastAsia="es-ES"/>
        </w:rPr>
        <w:t>INGRESOS CORRIENTES</w:t>
      </w:r>
      <w:bookmarkEnd w:id="44"/>
      <w:bookmarkEnd w:id="45"/>
      <w:bookmarkEnd w:id="46"/>
    </w:p>
    <w:p w:rsidR="00722944" w:rsidRPr="00C55FB2" w:rsidRDefault="00722944" w:rsidP="00722944">
      <w:pPr>
        <w:spacing w:after="0"/>
        <w:jc w:val="both"/>
        <w:rPr>
          <w:rFonts w:ascii="Century" w:eastAsia="Times New Roman" w:hAnsi="Century" w:cs="Times New Roman"/>
          <w:b/>
          <w:bCs/>
        </w:rPr>
      </w:pPr>
      <w:bookmarkStart w:id="47" w:name="_Toc155686911"/>
    </w:p>
    <w:p w:rsidR="00722944" w:rsidRPr="00C55FB2" w:rsidRDefault="007E1276" w:rsidP="00722944">
      <w:pPr>
        <w:keepNext/>
        <w:suppressAutoHyphens/>
        <w:spacing w:after="0" w:line="360" w:lineRule="auto"/>
        <w:jc w:val="both"/>
        <w:outlineLvl w:val="1"/>
        <w:rPr>
          <w:rFonts w:ascii="Century" w:eastAsia="Times New Roman" w:hAnsi="Century" w:cs="Times New Roman"/>
          <w:b/>
          <w:lang w:eastAsia="es-ES"/>
        </w:rPr>
      </w:pPr>
      <w:bookmarkStart w:id="48" w:name="_Toc208202846"/>
      <w:bookmarkStart w:id="49" w:name="_Toc207181426"/>
      <w:r w:rsidRPr="00C55FB2">
        <w:rPr>
          <w:rFonts w:ascii="Century" w:eastAsia="Times New Roman" w:hAnsi="Century" w:cs="Times New Roman"/>
          <w:b/>
          <w:bCs/>
          <w:lang w:eastAsia="es-ES"/>
        </w:rPr>
        <w:t>Nota.  X</w:t>
      </w:r>
      <w:r w:rsidR="000C3F6B" w:rsidRPr="00C55FB2">
        <w:rPr>
          <w:rFonts w:ascii="Century" w:eastAsia="Times New Roman" w:hAnsi="Century" w:cs="Times New Roman"/>
          <w:b/>
          <w:bCs/>
          <w:lang w:eastAsia="es-ES"/>
        </w:rPr>
        <w:t>VII</w:t>
      </w:r>
      <w:r w:rsidR="00722944" w:rsidRPr="00C55FB2">
        <w:rPr>
          <w:rFonts w:ascii="Century" w:eastAsia="Times New Roman" w:hAnsi="Century" w:cs="Times New Roman"/>
          <w:b/>
          <w:bCs/>
          <w:lang w:eastAsia="es-ES"/>
        </w:rPr>
        <w:t>: Ingresos no Tributarios</w:t>
      </w:r>
      <w:bookmarkEnd w:id="48"/>
      <w:bookmarkEnd w:id="49"/>
    </w:p>
    <w:p w:rsidR="00722944" w:rsidRPr="00C55FB2" w:rsidRDefault="00722944" w:rsidP="00722944">
      <w:pPr>
        <w:spacing w:after="0" w:line="240" w:lineRule="auto"/>
        <w:jc w:val="both"/>
        <w:rPr>
          <w:rFonts w:ascii="Century" w:eastAsia="Times New Roman" w:hAnsi="Century" w:cs="Times New Roman"/>
          <w:b/>
          <w:sz w:val="23"/>
          <w:szCs w:val="24"/>
        </w:rPr>
      </w:pPr>
    </w:p>
    <w:p w:rsidR="00722944" w:rsidRPr="00C55FB2" w:rsidRDefault="00722944" w:rsidP="00722944">
      <w:pPr>
        <w:spacing w:after="0"/>
        <w:jc w:val="both"/>
        <w:rPr>
          <w:rFonts w:ascii="Century" w:eastAsia="Times New Roman" w:hAnsi="Century" w:cs="Times New Roman"/>
          <w:b/>
          <w:bCs/>
        </w:rPr>
      </w:pPr>
      <w:r w:rsidRPr="00C55FB2">
        <w:rPr>
          <w:rFonts w:ascii="Century" w:eastAsia="Times New Roman" w:hAnsi="Century" w:cs="Times New Roman"/>
          <w:bCs/>
        </w:rPr>
        <w:t xml:space="preserve">Durante los ejercicios fiscales  del  </w:t>
      </w:r>
      <w:r w:rsidR="006E41CD"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lo ingresos no tributarios alcanzaron los montos de RD$</w:t>
      </w:r>
      <w:bookmarkStart w:id="50" w:name="OLE_LINK1"/>
      <w:r w:rsidR="00920295" w:rsidRPr="00C55FB2">
        <w:rPr>
          <w:rFonts w:ascii="Century" w:eastAsia="Times New Roman" w:hAnsi="Century" w:cs="Times New Roman"/>
          <w:bCs/>
        </w:rPr>
        <w:t xml:space="preserve">196,784,652.00 </w:t>
      </w:r>
      <w:r w:rsidRPr="00C55FB2">
        <w:rPr>
          <w:rFonts w:ascii="Century" w:eastAsia="Times New Roman" w:hAnsi="Century" w:cs="Times New Roman"/>
          <w:bCs/>
        </w:rPr>
        <w:t>y RD$</w:t>
      </w:r>
      <w:bookmarkEnd w:id="50"/>
      <w:r w:rsidR="008B6484" w:rsidRPr="00C55FB2">
        <w:rPr>
          <w:rFonts w:ascii="Century" w:eastAsia="Times New Roman" w:hAnsi="Century" w:cs="Times New Roman"/>
          <w:bCs/>
        </w:rPr>
        <w:t>206,116,200.86</w:t>
      </w:r>
      <w:r w:rsidRPr="00C55FB2">
        <w:rPr>
          <w:rFonts w:ascii="Century" w:eastAsia="Times New Roman" w:hAnsi="Century" w:cs="Times New Roman"/>
          <w:bCs/>
        </w:rPr>
        <w:t>, respectivamente reflejando un</w:t>
      </w:r>
      <w:r w:rsidR="00920295" w:rsidRPr="00C55FB2">
        <w:rPr>
          <w:rFonts w:ascii="Century" w:eastAsia="Times New Roman" w:hAnsi="Century" w:cs="Times New Roman"/>
          <w:bCs/>
        </w:rPr>
        <w:t>a</w:t>
      </w:r>
      <w:r w:rsidRPr="00C55FB2">
        <w:rPr>
          <w:rFonts w:ascii="Century" w:eastAsia="Times New Roman" w:hAnsi="Century" w:cs="Times New Roman"/>
          <w:bCs/>
        </w:rPr>
        <w:t xml:space="preserve"> </w:t>
      </w:r>
      <w:r w:rsidR="00920295" w:rsidRPr="00C55FB2">
        <w:rPr>
          <w:rFonts w:ascii="Century" w:eastAsia="Times New Roman" w:hAnsi="Century" w:cs="Times New Roman"/>
          <w:bCs/>
        </w:rPr>
        <w:t xml:space="preserve">disminución </w:t>
      </w:r>
      <w:r w:rsidRPr="00C55FB2">
        <w:rPr>
          <w:rFonts w:ascii="Century" w:eastAsia="Times New Roman" w:hAnsi="Century" w:cs="Times New Roman"/>
          <w:bCs/>
        </w:rPr>
        <w:t xml:space="preserve"> de RD$</w:t>
      </w:r>
      <w:r w:rsidR="00920295" w:rsidRPr="00C55FB2">
        <w:rPr>
          <w:rFonts w:ascii="Century" w:eastAsia="Times New Roman" w:hAnsi="Century" w:cs="Times New Roman"/>
          <w:bCs/>
        </w:rPr>
        <w:t>9,331,548.86</w:t>
      </w:r>
      <w:r w:rsidR="00BE1229" w:rsidRPr="00C55FB2">
        <w:rPr>
          <w:rFonts w:ascii="Century" w:eastAsia="Times New Roman" w:hAnsi="Century" w:cs="Times New Roman"/>
          <w:bCs/>
        </w:rPr>
        <w:t xml:space="preserve"> </w:t>
      </w:r>
      <w:r w:rsidRPr="00C55FB2">
        <w:rPr>
          <w:rFonts w:ascii="Century" w:eastAsia="Times New Roman" w:hAnsi="Century" w:cs="Times New Roman"/>
          <w:bCs/>
        </w:rPr>
        <w:t xml:space="preserve">equivalente a un  </w:t>
      </w:r>
      <w:r w:rsidR="00920295" w:rsidRPr="00C55FB2">
        <w:rPr>
          <w:rFonts w:ascii="Century" w:eastAsia="Times New Roman" w:hAnsi="Century" w:cs="Times New Roman"/>
          <w:bCs/>
        </w:rPr>
        <w:t>0.05</w:t>
      </w:r>
      <w:r w:rsidRPr="00C55FB2">
        <w:rPr>
          <w:rFonts w:ascii="Century" w:eastAsia="Times New Roman" w:hAnsi="Century" w:cs="Times New Roman"/>
          <w:bCs/>
        </w:rPr>
        <w:t xml:space="preserve"> %  en comparación con el ejercicio  anterior, esto debido a que </w:t>
      </w:r>
      <w:r w:rsidR="00920295" w:rsidRPr="00C55FB2">
        <w:rPr>
          <w:rFonts w:ascii="Century" w:eastAsia="Times New Roman" w:hAnsi="Century" w:cs="Times New Roman"/>
          <w:bCs/>
        </w:rPr>
        <w:t>el ingreso correspondiente al mes de septiembre no se percibió.</w:t>
      </w:r>
    </w:p>
    <w:tbl>
      <w:tblPr>
        <w:tblpPr w:leftFromText="141" w:rightFromText="141" w:vertAnchor="text" w:tblpY="1"/>
        <w:tblOverlap w:val="never"/>
        <w:tblW w:w="9243" w:type="dxa"/>
        <w:tblInd w:w="108" w:type="dxa"/>
        <w:tblLook w:val="0000" w:firstRow="0" w:lastRow="0" w:firstColumn="0" w:lastColumn="0" w:noHBand="0" w:noVBand="0"/>
      </w:tblPr>
      <w:tblGrid>
        <w:gridCol w:w="5940"/>
        <w:gridCol w:w="1566"/>
        <w:gridCol w:w="261"/>
        <w:gridCol w:w="1476"/>
      </w:tblGrid>
      <w:tr w:rsidR="00722944" w:rsidRPr="00C55FB2" w:rsidTr="00BE1229">
        <w:trPr>
          <w:trHeight w:val="450"/>
        </w:trPr>
        <w:tc>
          <w:tcPr>
            <w:tcW w:w="5940" w:type="dxa"/>
            <w:shd w:val="clear" w:color="auto" w:fill="FFFFFF"/>
            <w:noWrap/>
            <w:vAlign w:val="center"/>
          </w:tcPr>
          <w:p w:rsidR="00722944" w:rsidRPr="00C55FB2" w:rsidRDefault="00722944" w:rsidP="00BE1229">
            <w:pPr>
              <w:spacing w:after="0" w:line="240" w:lineRule="auto"/>
              <w:jc w:val="both"/>
              <w:rPr>
                <w:rFonts w:ascii="Century" w:eastAsia="Times New Roman" w:hAnsi="Century" w:cs="Times New Roman"/>
                <w:b/>
                <w:bCs/>
              </w:rPr>
            </w:pPr>
            <w:r w:rsidRPr="00C55FB2">
              <w:rPr>
                <w:rFonts w:ascii="Century" w:eastAsia="Times New Roman" w:hAnsi="Century" w:cs="Times New Roman"/>
                <w:b/>
                <w:bCs/>
              </w:rPr>
              <w:t xml:space="preserve">INGRESOS </w:t>
            </w:r>
          </w:p>
        </w:tc>
        <w:tc>
          <w:tcPr>
            <w:tcW w:w="1566" w:type="dxa"/>
            <w:noWrap/>
            <w:vAlign w:val="center"/>
          </w:tcPr>
          <w:p w:rsidR="00722944" w:rsidRPr="00C55FB2" w:rsidRDefault="00722944" w:rsidP="00BE1229">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2018</w:t>
            </w:r>
          </w:p>
        </w:tc>
        <w:tc>
          <w:tcPr>
            <w:tcW w:w="261" w:type="dxa"/>
            <w:noWrap/>
            <w:vAlign w:val="center"/>
          </w:tcPr>
          <w:p w:rsidR="00722944" w:rsidRPr="00C55FB2" w:rsidRDefault="00722944" w:rsidP="00BE1229">
            <w:pPr>
              <w:spacing w:after="0" w:line="240" w:lineRule="auto"/>
              <w:jc w:val="both"/>
              <w:rPr>
                <w:rFonts w:ascii="Century" w:eastAsia="Times New Roman" w:hAnsi="Century" w:cs="Times New Roman"/>
                <w:b/>
                <w:bCs/>
                <w:sz w:val="16"/>
                <w:szCs w:val="17"/>
              </w:rPr>
            </w:pPr>
          </w:p>
        </w:tc>
        <w:tc>
          <w:tcPr>
            <w:tcW w:w="1476" w:type="dxa"/>
            <w:noWrap/>
            <w:vAlign w:val="center"/>
          </w:tcPr>
          <w:p w:rsidR="00722944" w:rsidRPr="00C55FB2" w:rsidRDefault="00722944" w:rsidP="00BE1229">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2017</w:t>
            </w:r>
          </w:p>
        </w:tc>
      </w:tr>
      <w:tr w:rsidR="00722944" w:rsidRPr="00C55FB2" w:rsidTr="00BE1229">
        <w:trPr>
          <w:trHeight w:val="90"/>
        </w:trPr>
        <w:tc>
          <w:tcPr>
            <w:tcW w:w="5940" w:type="dxa"/>
            <w:shd w:val="clear" w:color="auto" w:fill="FFFFFF"/>
            <w:noWrap/>
            <w:vAlign w:val="center"/>
          </w:tcPr>
          <w:p w:rsidR="00722944" w:rsidRPr="00C55FB2" w:rsidRDefault="00722944" w:rsidP="00BE1229">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Percibidos del Gobierno Central  </w:t>
            </w:r>
          </w:p>
        </w:tc>
        <w:tc>
          <w:tcPr>
            <w:tcW w:w="1566" w:type="dxa"/>
            <w:shd w:val="clear" w:color="auto" w:fill="FFFFFF"/>
            <w:noWrap/>
            <w:vAlign w:val="bottom"/>
          </w:tcPr>
          <w:p w:rsidR="00722944" w:rsidRPr="00C55FB2" w:rsidRDefault="00920295" w:rsidP="00BE1229">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196,784,652.00</w:t>
            </w:r>
          </w:p>
        </w:tc>
        <w:tc>
          <w:tcPr>
            <w:tcW w:w="261" w:type="dxa"/>
            <w:shd w:val="clear" w:color="auto" w:fill="FFFFFF"/>
            <w:noWrap/>
            <w:vAlign w:val="bottom"/>
          </w:tcPr>
          <w:p w:rsidR="00722944" w:rsidRPr="00C55FB2" w:rsidRDefault="00722944" w:rsidP="00BE1229">
            <w:pPr>
              <w:spacing w:after="0" w:line="240" w:lineRule="auto"/>
              <w:jc w:val="both"/>
              <w:rPr>
                <w:rFonts w:ascii="Century" w:eastAsia="Times New Roman" w:hAnsi="Century" w:cs="Times New Roman"/>
                <w:sz w:val="16"/>
                <w:szCs w:val="17"/>
              </w:rPr>
            </w:pPr>
          </w:p>
        </w:tc>
        <w:tc>
          <w:tcPr>
            <w:tcW w:w="1476" w:type="dxa"/>
            <w:shd w:val="clear" w:color="auto" w:fill="FFFFFF"/>
            <w:noWrap/>
            <w:vAlign w:val="bottom"/>
          </w:tcPr>
          <w:p w:rsidR="00722944" w:rsidRPr="00C55FB2" w:rsidRDefault="008B6484" w:rsidP="00BE1229">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206,116,200.86</w:t>
            </w:r>
          </w:p>
        </w:tc>
      </w:tr>
      <w:tr w:rsidR="00722944" w:rsidRPr="00C55FB2" w:rsidTr="00BE1229">
        <w:trPr>
          <w:trHeight w:val="270"/>
        </w:trPr>
        <w:tc>
          <w:tcPr>
            <w:tcW w:w="5940" w:type="dxa"/>
            <w:shd w:val="clear" w:color="auto" w:fill="FFFFFF"/>
            <w:noWrap/>
            <w:vAlign w:val="center"/>
          </w:tcPr>
          <w:p w:rsidR="00722944" w:rsidRPr="00C55FB2" w:rsidRDefault="00722944" w:rsidP="00BE1229">
            <w:pPr>
              <w:spacing w:after="0" w:line="240" w:lineRule="auto"/>
              <w:jc w:val="both"/>
              <w:rPr>
                <w:rFonts w:ascii="Century" w:eastAsia="Times New Roman" w:hAnsi="Century" w:cs="Times New Roman"/>
                <w:bCs/>
                <w:sz w:val="16"/>
                <w:szCs w:val="17"/>
              </w:rPr>
            </w:pPr>
            <w:r w:rsidRPr="00C55FB2">
              <w:rPr>
                <w:rFonts w:ascii="Century" w:eastAsia="Times New Roman" w:hAnsi="Century" w:cs="Times New Roman"/>
                <w:bCs/>
                <w:sz w:val="16"/>
                <w:szCs w:val="16"/>
              </w:rPr>
              <w:t xml:space="preserve">Total Ingresos       </w:t>
            </w:r>
          </w:p>
        </w:tc>
        <w:tc>
          <w:tcPr>
            <w:tcW w:w="1566" w:type="dxa"/>
            <w:tcBorders>
              <w:top w:val="nil"/>
              <w:left w:val="nil"/>
              <w:bottom w:val="double" w:sz="6" w:space="0" w:color="auto"/>
              <w:right w:val="nil"/>
            </w:tcBorders>
            <w:shd w:val="clear" w:color="auto" w:fill="FFFFFF"/>
            <w:noWrap/>
            <w:vAlign w:val="bottom"/>
          </w:tcPr>
          <w:p w:rsidR="00722944" w:rsidRPr="00C55FB2" w:rsidRDefault="00722944" w:rsidP="00BE1229">
            <w:pPr>
              <w:spacing w:after="0" w:line="240" w:lineRule="auto"/>
              <w:jc w:val="right"/>
              <w:rPr>
                <w:rFonts w:ascii="Century" w:eastAsia="Times New Roman" w:hAnsi="Century" w:cs="Arial"/>
                <w:sz w:val="20"/>
                <w:szCs w:val="20"/>
              </w:rPr>
            </w:pPr>
          </w:p>
        </w:tc>
        <w:tc>
          <w:tcPr>
            <w:tcW w:w="261" w:type="dxa"/>
            <w:shd w:val="clear" w:color="auto" w:fill="FFFFFF"/>
            <w:noWrap/>
            <w:vAlign w:val="bottom"/>
          </w:tcPr>
          <w:p w:rsidR="00722944" w:rsidRPr="00C55FB2" w:rsidRDefault="00722944" w:rsidP="00BE1229">
            <w:pPr>
              <w:spacing w:after="0" w:line="240" w:lineRule="auto"/>
              <w:jc w:val="both"/>
              <w:rPr>
                <w:rFonts w:ascii="Century" w:eastAsia="Times New Roman" w:hAnsi="Century" w:cs="Times New Roman"/>
                <w:bCs/>
                <w:sz w:val="16"/>
                <w:szCs w:val="17"/>
              </w:rPr>
            </w:pPr>
          </w:p>
        </w:tc>
        <w:tc>
          <w:tcPr>
            <w:tcW w:w="1476" w:type="dxa"/>
            <w:tcBorders>
              <w:top w:val="nil"/>
              <w:left w:val="nil"/>
              <w:bottom w:val="double" w:sz="6" w:space="0" w:color="auto"/>
              <w:right w:val="nil"/>
            </w:tcBorders>
            <w:shd w:val="clear" w:color="auto" w:fill="FFFFFF"/>
            <w:noWrap/>
            <w:vAlign w:val="bottom"/>
          </w:tcPr>
          <w:p w:rsidR="00722944" w:rsidRPr="00C55FB2" w:rsidRDefault="00722944" w:rsidP="00BE1229">
            <w:pPr>
              <w:spacing w:after="0" w:line="240" w:lineRule="auto"/>
              <w:jc w:val="right"/>
              <w:rPr>
                <w:rFonts w:ascii="Century" w:eastAsia="Times New Roman" w:hAnsi="Century" w:cs="Times New Roman"/>
                <w:b/>
                <w:sz w:val="16"/>
                <w:szCs w:val="17"/>
              </w:rPr>
            </w:pPr>
          </w:p>
        </w:tc>
      </w:tr>
    </w:tbl>
    <w:p w:rsidR="00722944" w:rsidRPr="00C55FB2" w:rsidRDefault="00BE1229" w:rsidP="00722944">
      <w:pPr>
        <w:spacing w:after="0" w:line="360" w:lineRule="auto"/>
        <w:jc w:val="both"/>
        <w:rPr>
          <w:rFonts w:ascii="Century" w:eastAsia="Times New Roman" w:hAnsi="Century" w:cs="Times New Roman"/>
          <w:b/>
          <w:bCs/>
          <w:lang w:val="es-ES" w:eastAsia="es-ES"/>
        </w:rPr>
      </w:pPr>
      <w:bookmarkStart w:id="51" w:name="_Toc155686917"/>
      <w:bookmarkEnd w:id="47"/>
      <w:r w:rsidRPr="00C55FB2">
        <w:rPr>
          <w:rFonts w:ascii="Century" w:eastAsia="Times New Roman" w:hAnsi="Century" w:cs="Times New Roman"/>
          <w:b/>
          <w:bCs/>
          <w:lang w:val="es-ES" w:eastAsia="es-ES"/>
        </w:rPr>
        <w:br w:type="textWrapping" w:clear="all"/>
      </w:r>
    </w:p>
    <w:p w:rsidR="00722944" w:rsidRPr="00C55FB2" w:rsidRDefault="00722944" w:rsidP="00722944">
      <w:pPr>
        <w:spacing w:after="0" w:line="360" w:lineRule="auto"/>
        <w:jc w:val="both"/>
        <w:rPr>
          <w:rFonts w:ascii="Century" w:eastAsia="Times New Roman" w:hAnsi="Century" w:cs="Times New Roman"/>
          <w:b/>
          <w:sz w:val="23"/>
          <w:szCs w:val="23"/>
        </w:rPr>
      </w:pPr>
      <w:r w:rsidRPr="00C55FB2">
        <w:rPr>
          <w:rFonts w:ascii="Century" w:eastAsia="Times New Roman" w:hAnsi="Century" w:cs="Times New Roman"/>
          <w:b/>
          <w:bCs/>
          <w:lang w:val="es-ES" w:eastAsia="es-ES"/>
        </w:rPr>
        <w:t>GASTOS</w:t>
      </w:r>
      <w:bookmarkEnd w:id="51"/>
      <w:r w:rsidRPr="00C55FB2">
        <w:rPr>
          <w:rFonts w:ascii="Century" w:eastAsia="Times New Roman" w:hAnsi="Century" w:cs="Times New Roman"/>
          <w:b/>
          <w:bCs/>
        </w:rPr>
        <w:t xml:space="preserve"> </w:t>
      </w:r>
    </w:p>
    <w:p w:rsidR="00722944" w:rsidRPr="00C55FB2" w:rsidRDefault="00722944" w:rsidP="00722944">
      <w:pPr>
        <w:spacing w:after="0" w:line="360" w:lineRule="auto"/>
        <w:jc w:val="both"/>
        <w:rPr>
          <w:rFonts w:ascii="Century" w:eastAsia="Times New Roman" w:hAnsi="Century" w:cs="Times New Roman"/>
          <w:b/>
          <w:bCs/>
        </w:rPr>
      </w:pPr>
    </w:p>
    <w:p w:rsidR="00722944" w:rsidRPr="00C55FB2" w:rsidRDefault="007E1276" w:rsidP="00722944">
      <w:pPr>
        <w:keepNext/>
        <w:suppressAutoHyphens/>
        <w:spacing w:after="0" w:line="360" w:lineRule="auto"/>
        <w:jc w:val="both"/>
        <w:outlineLvl w:val="1"/>
        <w:rPr>
          <w:rFonts w:ascii="Century" w:eastAsia="Times New Roman" w:hAnsi="Century" w:cs="Times New Roman"/>
          <w:b/>
          <w:bCs/>
          <w:lang w:eastAsia="es-ES"/>
        </w:rPr>
      </w:pPr>
      <w:bookmarkStart w:id="52" w:name="_Toc208202853"/>
      <w:bookmarkStart w:id="53" w:name="_Toc207181433"/>
      <w:r w:rsidRPr="00C55FB2">
        <w:rPr>
          <w:rFonts w:ascii="Century" w:eastAsia="Times New Roman" w:hAnsi="Century" w:cs="Times New Roman"/>
          <w:b/>
          <w:bCs/>
          <w:lang w:eastAsia="es-ES"/>
        </w:rPr>
        <w:t>Nota X</w:t>
      </w:r>
      <w:r w:rsidR="000C3F6B" w:rsidRPr="00C55FB2">
        <w:rPr>
          <w:rFonts w:ascii="Century" w:eastAsia="Times New Roman" w:hAnsi="Century" w:cs="Times New Roman"/>
          <w:b/>
          <w:bCs/>
          <w:lang w:eastAsia="es-ES"/>
        </w:rPr>
        <w:t>VIII</w:t>
      </w:r>
      <w:r w:rsidR="00722944" w:rsidRPr="00C55FB2">
        <w:rPr>
          <w:rFonts w:ascii="Century" w:eastAsia="Times New Roman" w:hAnsi="Century" w:cs="Times New Roman"/>
          <w:b/>
          <w:bCs/>
          <w:lang w:eastAsia="es-ES"/>
        </w:rPr>
        <w:t xml:space="preserve">:   </w:t>
      </w:r>
      <w:bookmarkEnd w:id="52"/>
      <w:bookmarkEnd w:id="53"/>
      <w:r w:rsidR="00722944" w:rsidRPr="00C55FB2">
        <w:rPr>
          <w:rFonts w:ascii="Century" w:eastAsia="Times New Roman" w:hAnsi="Century" w:cs="Times New Roman"/>
          <w:b/>
          <w:bCs/>
          <w:lang w:eastAsia="es-ES"/>
        </w:rPr>
        <w:t>Servicios Personales</w:t>
      </w:r>
    </w:p>
    <w:p w:rsidR="00722944" w:rsidRPr="00C55FB2" w:rsidRDefault="00722944" w:rsidP="00722944">
      <w:pPr>
        <w:spacing w:after="0" w:line="240" w:lineRule="auto"/>
        <w:jc w:val="both"/>
        <w:rPr>
          <w:rFonts w:ascii="Century" w:eastAsia="Times New Roman" w:hAnsi="Century" w:cs="Times New Roman"/>
          <w:b/>
          <w:sz w:val="24"/>
          <w:szCs w:val="24"/>
          <w:lang w:eastAsia="es-ES"/>
        </w:rPr>
      </w:pPr>
    </w:p>
    <w:p w:rsidR="00722944" w:rsidRPr="00C55FB2" w:rsidRDefault="00722944" w:rsidP="00722944">
      <w:pPr>
        <w:spacing w:after="0"/>
        <w:jc w:val="both"/>
        <w:rPr>
          <w:rFonts w:ascii="Century" w:eastAsia="Times New Roman" w:hAnsi="Century" w:cs="Times New Roman"/>
          <w:bCs/>
          <w:szCs w:val="23"/>
        </w:rPr>
      </w:pPr>
      <w:r w:rsidRPr="00C55FB2">
        <w:rPr>
          <w:rFonts w:ascii="Century" w:eastAsia="Times New Roman" w:hAnsi="Century" w:cs="Times New Roman"/>
          <w:bCs/>
        </w:rPr>
        <w:t xml:space="preserve">Durante los ejercicios  fiscales  del  </w:t>
      </w:r>
      <w:r w:rsidR="00C71A3C"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los gastos por concepto de servicios personales totalizaron RD$</w:t>
      </w:r>
      <w:r w:rsidR="007C0E6D" w:rsidRPr="00C55FB2">
        <w:rPr>
          <w:rFonts w:ascii="Century" w:eastAsia="Times New Roman" w:hAnsi="Century" w:cs="Times New Roman"/>
          <w:bCs/>
        </w:rPr>
        <w:t xml:space="preserve">146,190,131.81 </w:t>
      </w:r>
      <w:r w:rsidRPr="00C55FB2">
        <w:rPr>
          <w:rFonts w:ascii="Century" w:eastAsia="Times New Roman" w:hAnsi="Century" w:cs="Times New Roman"/>
          <w:bCs/>
        </w:rPr>
        <w:t>y RD$</w:t>
      </w:r>
      <w:r w:rsidR="00252798" w:rsidRPr="00C55FB2">
        <w:rPr>
          <w:rFonts w:ascii="Century" w:eastAsia="Times New Roman" w:hAnsi="Century" w:cs="Times New Roman"/>
          <w:bCs/>
        </w:rPr>
        <w:t>128,376,943.60</w:t>
      </w:r>
      <w:r w:rsidRPr="00C55FB2">
        <w:rPr>
          <w:rFonts w:ascii="Century" w:eastAsia="Times New Roman" w:hAnsi="Century" w:cs="Times New Roman"/>
          <w:bCs/>
          <w:lang w:val="es-ES"/>
        </w:rPr>
        <w:t xml:space="preserve"> </w:t>
      </w:r>
      <w:r w:rsidRPr="00C55FB2">
        <w:rPr>
          <w:rFonts w:ascii="Century" w:eastAsia="Times New Roman" w:hAnsi="Century" w:cs="Times New Roman"/>
          <w:bCs/>
        </w:rPr>
        <w:t>respectivamente presentando un incremento de RD$</w:t>
      </w:r>
      <w:r w:rsidR="00FE1381" w:rsidRPr="00C55FB2">
        <w:rPr>
          <w:rFonts w:ascii="Century" w:eastAsia="Times New Roman" w:hAnsi="Century" w:cs="Times New Roman"/>
          <w:bCs/>
        </w:rPr>
        <w:t>17,813,188.21</w:t>
      </w:r>
      <w:r w:rsidR="00A93E5A" w:rsidRPr="00C55FB2">
        <w:rPr>
          <w:rFonts w:ascii="Century" w:eastAsia="Times New Roman" w:hAnsi="Century" w:cs="Times New Roman"/>
          <w:bCs/>
        </w:rPr>
        <w:t xml:space="preserve"> </w:t>
      </w:r>
      <w:r w:rsidRPr="00C55FB2">
        <w:rPr>
          <w:rFonts w:ascii="Century" w:eastAsia="Times New Roman" w:hAnsi="Century" w:cs="Times New Roman"/>
        </w:rPr>
        <w:t xml:space="preserve">equivalente a un </w:t>
      </w:r>
      <w:r w:rsidR="00FE1381" w:rsidRPr="00C55FB2">
        <w:rPr>
          <w:rFonts w:ascii="Century" w:eastAsia="Times New Roman" w:hAnsi="Century" w:cs="Times New Roman"/>
        </w:rPr>
        <w:t>12</w:t>
      </w:r>
      <w:r w:rsidRPr="00C55FB2">
        <w:rPr>
          <w:rFonts w:ascii="Century" w:eastAsia="Times New Roman" w:hAnsi="Century" w:cs="Times New Roman"/>
        </w:rPr>
        <w:t>%</w:t>
      </w:r>
      <w:r w:rsidRPr="00C55FB2">
        <w:rPr>
          <w:rFonts w:ascii="Century" w:eastAsia="Times New Roman" w:hAnsi="Century" w:cs="Times New Roman"/>
          <w:bCs/>
        </w:rPr>
        <w:t>, según el siguiente detalle:</w:t>
      </w:r>
    </w:p>
    <w:p w:rsidR="00722944" w:rsidRPr="00C55FB2" w:rsidRDefault="00722944" w:rsidP="00722944">
      <w:pPr>
        <w:spacing w:after="0" w:line="240" w:lineRule="auto"/>
        <w:jc w:val="both"/>
        <w:rPr>
          <w:rFonts w:ascii="Century" w:eastAsia="Times New Roman" w:hAnsi="Century"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722944" w:rsidRPr="00C55FB2" w:rsidTr="00F30DC6">
        <w:trPr>
          <w:trHeight w:val="255"/>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rPr>
              <w:t>PARTIDAS</w:t>
            </w:r>
          </w:p>
        </w:tc>
        <w:tc>
          <w:tcPr>
            <w:tcW w:w="1874" w:type="dxa"/>
            <w:shd w:val="clear" w:color="auto" w:fill="FFFFFF"/>
            <w:noWrap/>
            <w:vAlign w:val="center"/>
          </w:tcPr>
          <w:p w:rsidR="00722944" w:rsidRPr="00C55FB2" w:rsidRDefault="00722944" w:rsidP="00722944">
            <w:pPr>
              <w:spacing w:after="0" w:line="240" w:lineRule="auto"/>
              <w:jc w:val="right"/>
              <w:rPr>
                <w:rFonts w:ascii="Century" w:eastAsia="Times New Roman" w:hAnsi="Century" w:cs="Times New Roman"/>
                <w:b/>
                <w:sz w:val="16"/>
                <w:szCs w:val="17"/>
              </w:rPr>
            </w:pPr>
            <w:r w:rsidRPr="00C55FB2">
              <w:rPr>
                <w:rFonts w:ascii="Century" w:eastAsia="Times New Roman" w:hAnsi="Century" w:cs="Times New Roman"/>
                <w:b/>
                <w:sz w:val="16"/>
                <w:szCs w:val="16"/>
              </w:rPr>
              <w:t>2018</w:t>
            </w:r>
          </w:p>
        </w:tc>
        <w:tc>
          <w:tcPr>
            <w:tcW w:w="236"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958" w:type="dxa"/>
            <w:shd w:val="clear" w:color="auto" w:fill="FFFFFF"/>
            <w:noWrap/>
            <w:vAlign w:val="center"/>
          </w:tcPr>
          <w:p w:rsidR="00722944" w:rsidRPr="00C55FB2" w:rsidRDefault="00722944" w:rsidP="00722944">
            <w:pPr>
              <w:spacing w:after="0" w:line="240" w:lineRule="auto"/>
              <w:jc w:val="right"/>
              <w:rPr>
                <w:rFonts w:ascii="Century" w:eastAsia="Times New Roman" w:hAnsi="Century" w:cs="Times New Roman"/>
                <w:b/>
                <w:sz w:val="16"/>
                <w:szCs w:val="17"/>
              </w:rPr>
            </w:pPr>
            <w:r w:rsidRPr="00C55FB2">
              <w:rPr>
                <w:rFonts w:ascii="Century" w:eastAsia="Times New Roman" w:hAnsi="Century" w:cs="Times New Roman"/>
                <w:b/>
                <w:sz w:val="16"/>
                <w:szCs w:val="16"/>
              </w:rPr>
              <w:t>2017</w:t>
            </w:r>
          </w:p>
        </w:tc>
      </w:tr>
      <w:tr w:rsidR="00722944" w:rsidRPr="00C55FB2" w:rsidTr="00F30DC6">
        <w:trPr>
          <w:trHeight w:val="255"/>
        </w:trPr>
        <w:tc>
          <w:tcPr>
            <w:tcW w:w="4932" w:type="dxa"/>
            <w:shd w:val="clear" w:color="auto" w:fill="FFFFFF"/>
            <w:noWrap/>
            <w:vAlign w:val="center"/>
          </w:tcPr>
          <w:p w:rsidR="00722944" w:rsidRPr="00C55FB2" w:rsidRDefault="00722944" w:rsidP="00721E70">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Sueldos </w:t>
            </w:r>
          </w:p>
        </w:tc>
        <w:tc>
          <w:tcPr>
            <w:tcW w:w="1874" w:type="dxa"/>
            <w:shd w:val="clear" w:color="auto" w:fill="FFFFFF"/>
            <w:noWrap/>
            <w:vAlign w:val="bottom"/>
          </w:tcPr>
          <w:p w:rsidR="00722944" w:rsidRPr="00C55FB2" w:rsidRDefault="00D229E1"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104,852,657.87</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C55FB2" w:rsidRDefault="007C4EFC"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104,849,844.87</w:t>
            </w:r>
          </w:p>
        </w:tc>
      </w:tr>
      <w:tr w:rsidR="00537DD2" w:rsidRPr="00C55FB2" w:rsidTr="00F30DC6">
        <w:trPr>
          <w:trHeight w:val="255"/>
        </w:trPr>
        <w:tc>
          <w:tcPr>
            <w:tcW w:w="4932" w:type="dxa"/>
            <w:shd w:val="clear" w:color="auto" w:fill="FFFFFF"/>
            <w:noWrap/>
            <w:vAlign w:val="center"/>
          </w:tcPr>
          <w:p w:rsidR="00537DD2" w:rsidRPr="00C55FB2" w:rsidRDefault="00537DD2" w:rsidP="00721E70">
            <w:pPr>
              <w:spacing w:after="0" w:line="240" w:lineRule="auto"/>
              <w:jc w:val="both"/>
              <w:rPr>
                <w:rFonts w:ascii="Century" w:eastAsia="Times New Roman" w:hAnsi="Century" w:cs="Times New Roman"/>
                <w:sz w:val="16"/>
                <w:szCs w:val="16"/>
              </w:rPr>
            </w:pPr>
            <w:r w:rsidRPr="00C55FB2">
              <w:rPr>
                <w:rFonts w:ascii="Century" w:eastAsia="Times New Roman" w:hAnsi="Century" w:cs="Times New Roman"/>
                <w:sz w:val="16"/>
                <w:szCs w:val="16"/>
              </w:rPr>
              <w:t>Sueldos al personal contratado</w:t>
            </w:r>
          </w:p>
        </w:tc>
        <w:tc>
          <w:tcPr>
            <w:tcW w:w="1874" w:type="dxa"/>
            <w:shd w:val="clear" w:color="auto" w:fill="FFFFFF"/>
            <w:noWrap/>
            <w:vAlign w:val="bottom"/>
          </w:tcPr>
          <w:p w:rsidR="00537DD2" w:rsidRPr="00C55FB2" w:rsidRDefault="007C0E6D" w:rsidP="00D229E1">
            <w:pPr>
              <w:spacing w:after="0" w:line="240" w:lineRule="auto"/>
              <w:jc w:val="center"/>
              <w:rPr>
                <w:rFonts w:ascii="Century" w:eastAsia="Times New Roman" w:hAnsi="Century" w:cs="Times New Roman"/>
                <w:sz w:val="16"/>
                <w:szCs w:val="17"/>
              </w:rPr>
            </w:pPr>
            <w:r w:rsidRPr="00C55FB2">
              <w:rPr>
                <w:rFonts w:ascii="Century" w:eastAsia="Times New Roman" w:hAnsi="Century" w:cs="Times New Roman"/>
                <w:sz w:val="16"/>
                <w:szCs w:val="17"/>
              </w:rPr>
              <w:t xml:space="preserve">             16,260,307.50</w:t>
            </w:r>
          </w:p>
        </w:tc>
        <w:tc>
          <w:tcPr>
            <w:tcW w:w="236" w:type="dxa"/>
            <w:shd w:val="clear" w:color="auto" w:fill="FFFFFF"/>
            <w:noWrap/>
            <w:vAlign w:val="bottom"/>
          </w:tcPr>
          <w:p w:rsidR="00537DD2" w:rsidRPr="00C55FB2" w:rsidRDefault="00537DD2"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537DD2" w:rsidRPr="00C55FB2" w:rsidRDefault="00537DD2"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3,127,822.50</w:t>
            </w:r>
          </w:p>
        </w:tc>
      </w:tr>
      <w:tr w:rsidR="00722944" w:rsidRPr="00C55FB2" w:rsidTr="00F30DC6">
        <w:trPr>
          <w:trHeight w:val="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Contribuciones a la Seguridad Social  </w:t>
            </w:r>
          </w:p>
        </w:tc>
        <w:tc>
          <w:tcPr>
            <w:tcW w:w="1874" w:type="dxa"/>
            <w:tcBorders>
              <w:top w:val="nil"/>
              <w:left w:val="nil"/>
              <w:right w:val="nil"/>
            </w:tcBorders>
            <w:shd w:val="clear" w:color="auto" w:fill="FFFFFF"/>
            <w:noWrap/>
            <w:vAlign w:val="bottom"/>
          </w:tcPr>
          <w:p w:rsidR="00722944" w:rsidRPr="00C55FB2" w:rsidRDefault="00D229E1" w:rsidP="00722944">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18,329,444.45</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6"/>
              </w:rPr>
            </w:pPr>
          </w:p>
        </w:tc>
        <w:tc>
          <w:tcPr>
            <w:tcW w:w="1958" w:type="dxa"/>
            <w:tcBorders>
              <w:top w:val="nil"/>
              <w:left w:val="nil"/>
              <w:right w:val="nil"/>
            </w:tcBorders>
            <w:shd w:val="clear" w:color="auto" w:fill="FFFFFF"/>
            <w:noWrap/>
            <w:vAlign w:val="bottom"/>
          </w:tcPr>
          <w:p w:rsidR="00722944" w:rsidRPr="00C55FB2" w:rsidRDefault="008B1F79"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w:t>
            </w:r>
            <w:r w:rsidR="003A06FD" w:rsidRPr="00C55FB2">
              <w:rPr>
                <w:rFonts w:ascii="Century" w:eastAsia="Times New Roman" w:hAnsi="Century" w:cs="Times New Roman"/>
                <w:sz w:val="16"/>
                <w:szCs w:val="17"/>
              </w:rPr>
              <w:t>5,366,085</w:t>
            </w:r>
            <w:r w:rsidRPr="00C55FB2">
              <w:rPr>
                <w:rFonts w:ascii="Century" w:eastAsia="Times New Roman" w:hAnsi="Century" w:cs="Times New Roman"/>
                <w:sz w:val="16"/>
                <w:szCs w:val="17"/>
              </w:rPr>
              <w:t>.20</w:t>
            </w:r>
          </w:p>
        </w:tc>
      </w:tr>
      <w:tr w:rsidR="00722944" w:rsidRPr="00C55FB2" w:rsidTr="00F30DC6">
        <w:trPr>
          <w:trHeight w:val="2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lastRenderedPageBreak/>
              <w:t>Regalía Pascual</w:t>
            </w:r>
          </w:p>
        </w:tc>
        <w:tc>
          <w:tcPr>
            <w:tcW w:w="1874" w:type="dxa"/>
            <w:tcBorders>
              <w:left w:val="nil"/>
              <w:right w:val="nil"/>
            </w:tcBorders>
            <w:shd w:val="clear" w:color="auto" w:fill="FFFFFF"/>
            <w:noWrap/>
            <w:vAlign w:val="bottom"/>
          </w:tcPr>
          <w:p w:rsidR="00722944" w:rsidRPr="00C55FB2" w:rsidRDefault="00D229E1" w:rsidP="00722944">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16,018.01</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C55FB2" w:rsidRDefault="00722944"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0.00</w:t>
            </w:r>
          </w:p>
        </w:tc>
      </w:tr>
      <w:tr w:rsidR="008B1F79" w:rsidRPr="00C55FB2" w:rsidTr="00F30DC6">
        <w:trPr>
          <w:trHeight w:val="270"/>
        </w:trPr>
        <w:tc>
          <w:tcPr>
            <w:tcW w:w="4932" w:type="dxa"/>
            <w:shd w:val="clear" w:color="auto" w:fill="FFFFFF"/>
            <w:noWrap/>
            <w:vAlign w:val="center"/>
          </w:tcPr>
          <w:p w:rsidR="008B1F79" w:rsidRPr="00C55FB2" w:rsidRDefault="008B1F79"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Jornales</w:t>
            </w:r>
          </w:p>
        </w:tc>
        <w:tc>
          <w:tcPr>
            <w:tcW w:w="1874" w:type="dxa"/>
            <w:tcBorders>
              <w:left w:val="nil"/>
              <w:right w:val="nil"/>
            </w:tcBorders>
            <w:shd w:val="clear" w:color="auto" w:fill="FFFFFF"/>
            <w:noWrap/>
            <w:vAlign w:val="bottom"/>
          </w:tcPr>
          <w:p w:rsidR="008B1F79" w:rsidRPr="00C55FB2" w:rsidRDefault="00D229E1" w:rsidP="00722944">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3,837,002.00</w:t>
            </w:r>
          </w:p>
        </w:tc>
        <w:tc>
          <w:tcPr>
            <w:tcW w:w="236" w:type="dxa"/>
            <w:shd w:val="clear" w:color="auto" w:fill="FFFFFF"/>
            <w:noWrap/>
            <w:vAlign w:val="bottom"/>
          </w:tcPr>
          <w:p w:rsidR="008B1F79" w:rsidRPr="00C55FB2" w:rsidRDefault="008B1F79"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8B1F79" w:rsidRPr="00C55FB2" w:rsidRDefault="008B1F79"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2,585,433.32</w:t>
            </w:r>
          </w:p>
        </w:tc>
      </w:tr>
      <w:tr w:rsidR="00722944" w:rsidRPr="00C55FB2" w:rsidTr="00F30DC6">
        <w:trPr>
          <w:trHeight w:val="2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Bonificaciones</w:t>
            </w:r>
          </w:p>
        </w:tc>
        <w:tc>
          <w:tcPr>
            <w:tcW w:w="1874" w:type="dxa"/>
            <w:tcBorders>
              <w:left w:val="nil"/>
              <w:right w:val="nil"/>
            </w:tcBorders>
            <w:shd w:val="clear" w:color="auto" w:fill="FFFFFF"/>
            <w:noWrap/>
            <w:vAlign w:val="bottom"/>
          </w:tcPr>
          <w:p w:rsidR="00722944" w:rsidRPr="00C55FB2" w:rsidRDefault="00722944" w:rsidP="00722944">
            <w:pPr>
              <w:spacing w:after="0" w:line="240" w:lineRule="auto"/>
              <w:jc w:val="right"/>
              <w:rPr>
                <w:rFonts w:ascii="Century" w:eastAsia="Times New Roman" w:hAnsi="Century" w:cs="Times New Roman"/>
                <w:sz w:val="16"/>
                <w:szCs w:val="16"/>
              </w:rPr>
            </w:pP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C55FB2" w:rsidRDefault="00331BB4" w:rsidP="00537DD2">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39,</w:t>
            </w:r>
            <w:r w:rsidR="00537DD2" w:rsidRPr="00C55FB2">
              <w:rPr>
                <w:rFonts w:ascii="Century" w:eastAsia="Times New Roman" w:hAnsi="Century" w:cs="Times New Roman"/>
                <w:sz w:val="16"/>
                <w:szCs w:val="17"/>
              </w:rPr>
              <w:t>501</w:t>
            </w:r>
            <w:r w:rsidRPr="00C55FB2">
              <w:rPr>
                <w:rFonts w:ascii="Century" w:eastAsia="Times New Roman" w:hAnsi="Century" w:cs="Times New Roman"/>
                <w:sz w:val="16"/>
                <w:szCs w:val="17"/>
              </w:rPr>
              <w:t>.00</w:t>
            </w:r>
          </w:p>
        </w:tc>
      </w:tr>
      <w:tr w:rsidR="00722944" w:rsidRPr="00C55FB2" w:rsidTr="00824650">
        <w:trPr>
          <w:trHeight w:val="2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Prestaciones Laborables</w:t>
            </w:r>
          </w:p>
        </w:tc>
        <w:tc>
          <w:tcPr>
            <w:tcW w:w="1874" w:type="dxa"/>
            <w:tcBorders>
              <w:left w:val="nil"/>
              <w:right w:val="nil"/>
            </w:tcBorders>
            <w:shd w:val="clear" w:color="auto" w:fill="FFFFFF"/>
            <w:noWrap/>
            <w:vAlign w:val="bottom"/>
          </w:tcPr>
          <w:p w:rsidR="00722944" w:rsidRPr="00C55FB2" w:rsidRDefault="001223FA" w:rsidP="00722944">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1,131,146.00</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C55FB2" w:rsidRDefault="00331BB4"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116,289.80</w:t>
            </w:r>
          </w:p>
        </w:tc>
      </w:tr>
      <w:tr w:rsidR="00824650" w:rsidRPr="00C55FB2" w:rsidTr="00824650">
        <w:trPr>
          <w:trHeight w:val="270"/>
        </w:trPr>
        <w:tc>
          <w:tcPr>
            <w:tcW w:w="4932" w:type="dxa"/>
            <w:shd w:val="clear" w:color="auto" w:fill="FFFFFF"/>
            <w:noWrap/>
            <w:vAlign w:val="center"/>
          </w:tcPr>
          <w:p w:rsidR="00824650" w:rsidRPr="00C55FB2" w:rsidRDefault="00824650"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Compensaciones directas al personal</w:t>
            </w:r>
          </w:p>
        </w:tc>
        <w:tc>
          <w:tcPr>
            <w:tcW w:w="1874" w:type="dxa"/>
            <w:tcBorders>
              <w:left w:val="nil"/>
              <w:right w:val="nil"/>
            </w:tcBorders>
            <w:shd w:val="clear" w:color="auto" w:fill="FFFFFF"/>
            <w:noWrap/>
            <w:vAlign w:val="bottom"/>
          </w:tcPr>
          <w:p w:rsidR="00824650" w:rsidRPr="00C55FB2" w:rsidRDefault="007C0E6D" w:rsidP="001223FA">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2,894,7</w:t>
            </w:r>
            <w:r w:rsidR="001223FA" w:rsidRPr="00C55FB2">
              <w:rPr>
                <w:rFonts w:ascii="Century" w:eastAsia="Times New Roman" w:hAnsi="Century" w:cs="Times New Roman"/>
                <w:sz w:val="16"/>
                <w:szCs w:val="16"/>
              </w:rPr>
              <w:t>10</w:t>
            </w:r>
            <w:r w:rsidRPr="00C55FB2">
              <w:rPr>
                <w:rFonts w:ascii="Century" w:eastAsia="Times New Roman" w:hAnsi="Century" w:cs="Times New Roman"/>
                <w:sz w:val="16"/>
                <w:szCs w:val="16"/>
              </w:rPr>
              <w:t>.98</w:t>
            </w:r>
          </w:p>
        </w:tc>
        <w:tc>
          <w:tcPr>
            <w:tcW w:w="236" w:type="dxa"/>
            <w:shd w:val="clear" w:color="auto" w:fill="FFFFFF"/>
            <w:noWrap/>
            <w:vAlign w:val="bottom"/>
          </w:tcPr>
          <w:p w:rsidR="00824650" w:rsidRPr="00C55FB2" w:rsidRDefault="00824650"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824650" w:rsidRPr="00C55FB2" w:rsidRDefault="008B1F79"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2,106,429.30</w:t>
            </w:r>
          </w:p>
        </w:tc>
      </w:tr>
      <w:tr w:rsidR="00722944" w:rsidRPr="00C55FB2" w:rsidTr="00824650">
        <w:trPr>
          <w:trHeight w:val="2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Vacaciones</w:t>
            </w:r>
          </w:p>
        </w:tc>
        <w:tc>
          <w:tcPr>
            <w:tcW w:w="1874" w:type="dxa"/>
            <w:tcBorders>
              <w:left w:val="nil"/>
              <w:bottom w:val="single" w:sz="4" w:space="0" w:color="auto"/>
              <w:right w:val="nil"/>
            </w:tcBorders>
            <w:shd w:val="clear" w:color="auto" w:fill="FFFFFF"/>
            <w:noWrap/>
            <w:vAlign w:val="bottom"/>
          </w:tcPr>
          <w:p w:rsidR="00722944" w:rsidRPr="00C55FB2" w:rsidRDefault="001223FA" w:rsidP="00722944">
            <w:pPr>
              <w:spacing w:after="0" w:line="240" w:lineRule="auto"/>
              <w:jc w:val="right"/>
              <w:rPr>
                <w:rFonts w:ascii="Century" w:eastAsia="Times New Roman" w:hAnsi="Century" w:cs="Times New Roman"/>
                <w:sz w:val="16"/>
                <w:szCs w:val="16"/>
              </w:rPr>
            </w:pPr>
            <w:r w:rsidRPr="00C55FB2">
              <w:rPr>
                <w:rFonts w:ascii="Century" w:eastAsia="Times New Roman" w:hAnsi="Century" w:cs="Times New Roman"/>
                <w:sz w:val="16"/>
                <w:szCs w:val="16"/>
              </w:rPr>
              <w:t>1,037,634.23</w:t>
            </w:r>
          </w:p>
        </w:tc>
        <w:tc>
          <w:tcPr>
            <w:tcW w:w="236" w:type="dxa"/>
            <w:tcBorders>
              <w:bottom w:val="single" w:sz="4" w:space="0" w:color="auto"/>
            </w:tcBorders>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bottom w:val="single" w:sz="4" w:space="0" w:color="auto"/>
              <w:right w:val="nil"/>
            </w:tcBorders>
            <w:shd w:val="clear" w:color="auto" w:fill="FFFFFF"/>
            <w:noWrap/>
            <w:vAlign w:val="bottom"/>
          </w:tcPr>
          <w:p w:rsidR="00722944" w:rsidRPr="00C55FB2" w:rsidRDefault="00537DD2"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301,827.41</w:t>
            </w:r>
          </w:p>
        </w:tc>
      </w:tr>
      <w:tr w:rsidR="00722944" w:rsidRPr="00C55FB2" w:rsidTr="00F30DC6">
        <w:trPr>
          <w:trHeight w:val="270"/>
        </w:trPr>
        <w:tc>
          <w:tcPr>
            <w:tcW w:w="4932"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Cs/>
                <w:sz w:val="16"/>
                <w:szCs w:val="16"/>
              </w:rPr>
            </w:pPr>
            <w:r w:rsidRPr="00C55FB2">
              <w:rPr>
                <w:rFonts w:ascii="Century" w:eastAsia="Times New Roman" w:hAnsi="Century" w:cs="Times New Roman"/>
                <w:bCs/>
                <w:sz w:val="16"/>
                <w:szCs w:val="16"/>
              </w:rPr>
              <w:t>Total Servicios Personales</w:t>
            </w:r>
          </w:p>
        </w:tc>
        <w:tc>
          <w:tcPr>
            <w:tcW w:w="1874" w:type="dxa"/>
            <w:tcBorders>
              <w:top w:val="single" w:sz="4" w:space="0" w:color="auto"/>
              <w:left w:val="nil"/>
              <w:bottom w:val="double" w:sz="4" w:space="0" w:color="auto"/>
              <w:right w:val="nil"/>
            </w:tcBorders>
            <w:shd w:val="clear" w:color="auto" w:fill="FFFFFF"/>
            <w:noWrap/>
            <w:vAlign w:val="bottom"/>
          </w:tcPr>
          <w:p w:rsidR="00722944" w:rsidRPr="00C55FB2" w:rsidRDefault="001223FA"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148,358,921.04</w:t>
            </w:r>
          </w:p>
        </w:tc>
        <w:tc>
          <w:tcPr>
            <w:tcW w:w="236" w:type="dxa"/>
            <w:tcBorders>
              <w:top w:val="single" w:sz="4" w:space="0" w:color="auto"/>
            </w:tcBorders>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Cs/>
                <w:sz w:val="16"/>
                <w:szCs w:val="17"/>
              </w:rPr>
            </w:pPr>
          </w:p>
        </w:tc>
        <w:tc>
          <w:tcPr>
            <w:tcW w:w="1958" w:type="dxa"/>
            <w:tcBorders>
              <w:top w:val="single" w:sz="4" w:space="0" w:color="auto"/>
              <w:left w:val="nil"/>
              <w:bottom w:val="double" w:sz="4" w:space="0" w:color="auto"/>
              <w:right w:val="nil"/>
            </w:tcBorders>
            <w:shd w:val="clear" w:color="auto" w:fill="FFFFFF"/>
            <w:noWrap/>
            <w:vAlign w:val="bottom"/>
          </w:tcPr>
          <w:p w:rsidR="00722944" w:rsidRPr="00C55FB2" w:rsidRDefault="00252798"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128,376,943.60</w:t>
            </w:r>
          </w:p>
        </w:tc>
      </w:tr>
    </w:tbl>
    <w:p w:rsidR="00722944" w:rsidRPr="00C55FB2" w:rsidRDefault="00722944" w:rsidP="00722944">
      <w:pPr>
        <w:keepNext/>
        <w:suppressAutoHyphens/>
        <w:spacing w:after="0" w:line="360" w:lineRule="auto"/>
        <w:jc w:val="both"/>
        <w:outlineLvl w:val="1"/>
        <w:rPr>
          <w:rFonts w:ascii="Century" w:eastAsia="Times New Roman" w:hAnsi="Century" w:cs="Times New Roman"/>
          <w:b/>
          <w:bCs/>
        </w:rPr>
      </w:pPr>
      <w:bookmarkStart w:id="54" w:name="_Toc207181437"/>
      <w:bookmarkStart w:id="55" w:name="_Toc208202857"/>
      <w:bookmarkStart w:id="56" w:name="_Toc155686921"/>
    </w:p>
    <w:p w:rsidR="00722944" w:rsidRPr="00C55FB2" w:rsidRDefault="00722944" w:rsidP="00722944">
      <w:pPr>
        <w:spacing w:after="0" w:line="240" w:lineRule="auto"/>
        <w:jc w:val="both"/>
        <w:rPr>
          <w:rFonts w:ascii="Century" w:eastAsia="Times New Roman" w:hAnsi="Century" w:cs="Times New Roman"/>
          <w:b/>
          <w:sz w:val="24"/>
          <w:szCs w:val="24"/>
        </w:rPr>
      </w:pPr>
    </w:p>
    <w:p w:rsidR="00722944" w:rsidRPr="00C55FB2" w:rsidRDefault="00722944" w:rsidP="00722944">
      <w:pPr>
        <w:spacing w:after="0" w:line="240" w:lineRule="auto"/>
        <w:jc w:val="both"/>
        <w:rPr>
          <w:rFonts w:ascii="Century" w:eastAsia="Times New Roman" w:hAnsi="Century" w:cs="Times New Roman"/>
          <w:b/>
          <w:sz w:val="24"/>
          <w:szCs w:val="24"/>
        </w:rPr>
      </w:pPr>
    </w:p>
    <w:p w:rsidR="00722944" w:rsidRPr="00C55FB2" w:rsidRDefault="004118BA" w:rsidP="00722944">
      <w:pPr>
        <w:keepNext/>
        <w:suppressAutoHyphens/>
        <w:spacing w:after="0" w:line="360" w:lineRule="auto"/>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 xml:space="preserve">Nota </w:t>
      </w:r>
      <w:r w:rsidR="00986A92" w:rsidRPr="00C55FB2">
        <w:rPr>
          <w:rFonts w:ascii="Century" w:eastAsia="Times New Roman" w:hAnsi="Century" w:cs="Times New Roman"/>
          <w:b/>
          <w:bCs/>
          <w:lang w:eastAsia="es-ES"/>
        </w:rPr>
        <w:t>X</w:t>
      </w:r>
      <w:r w:rsidR="000C3F6B" w:rsidRPr="00C55FB2">
        <w:rPr>
          <w:rFonts w:ascii="Century" w:eastAsia="Times New Roman" w:hAnsi="Century" w:cs="Times New Roman"/>
          <w:b/>
          <w:bCs/>
          <w:lang w:eastAsia="es-ES"/>
        </w:rPr>
        <w:t>IX</w:t>
      </w:r>
      <w:r w:rsidRPr="00C55FB2">
        <w:rPr>
          <w:rFonts w:ascii="Century" w:eastAsia="Times New Roman" w:hAnsi="Century" w:cs="Times New Roman"/>
          <w:b/>
          <w:bCs/>
          <w:lang w:eastAsia="es-ES"/>
        </w:rPr>
        <w:t xml:space="preserve">:   </w:t>
      </w:r>
      <w:r w:rsidR="00722944" w:rsidRPr="00C55FB2">
        <w:rPr>
          <w:rFonts w:ascii="Century" w:eastAsia="Times New Roman" w:hAnsi="Century" w:cs="Times New Roman"/>
          <w:b/>
          <w:bCs/>
          <w:lang w:eastAsia="es-ES"/>
        </w:rPr>
        <w:t xml:space="preserve">Bienes </w:t>
      </w:r>
      <w:bookmarkEnd w:id="54"/>
      <w:r w:rsidR="00722944" w:rsidRPr="00C55FB2">
        <w:rPr>
          <w:rFonts w:ascii="Century" w:eastAsia="Times New Roman" w:hAnsi="Century" w:cs="Times New Roman"/>
          <w:b/>
          <w:bCs/>
          <w:lang w:eastAsia="es-ES"/>
        </w:rPr>
        <w:t>y Servicios</w:t>
      </w:r>
      <w:bookmarkEnd w:id="55"/>
      <w:r w:rsidR="00722944" w:rsidRPr="00C55FB2">
        <w:rPr>
          <w:rFonts w:ascii="Century" w:eastAsia="Times New Roman" w:hAnsi="Century" w:cs="Times New Roman"/>
          <w:b/>
          <w:bCs/>
          <w:lang w:eastAsia="es-ES"/>
        </w:rPr>
        <w:t xml:space="preserve"> </w:t>
      </w:r>
      <w:bookmarkEnd w:id="56"/>
    </w:p>
    <w:p w:rsidR="00722944" w:rsidRPr="00C55FB2" w:rsidRDefault="00722944" w:rsidP="00722944">
      <w:pPr>
        <w:spacing w:after="0" w:line="360" w:lineRule="auto"/>
        <w:jc w:val="both"/>
        <w:rPr>
          <w:rFonts w:ascii="Century" w:eastAsia="Times New Roman" w:hAnsi="Century" w:cs="Times New Roman"/>
          <w:b/>
          <w:bCs/>
          <w:szCs w:val="23"/>
          <w:lang w:val="es-ES" w:eastAsia="es-ES"/>
        </w:rPr>
      </w:pPr>
    </w:p>
    <w:p w:rsidR="00722944" w:rsidRPr="00C55FB2" w:rsidRDefault="00722944" w:rsidP="00722944">
      <w:pPr>
        <w:spacing w:after="0"/>
        <w:jc w:val="both"/>
        <w:rPr>
          <w:rFonts w:ascii="Century" w:eastAsia="Times New Roman" w:hAnsi="Century" w:cs="Times New Roman"/>
          <w:sz w:val="23"/>
          <w:szCs w:val="23"/>
        </w:rPr>
      </w:pPr>
      <w:r w:rsidRPr="00C55FB2">
        <w:rPr>
          <w:rFonts w:ascii="Century" w:eastAsia="Times New Roman" w:hAnsi="Century" w:cs="Times New Roman"/>
          <w:bCs/>
        </w:rPr>
        <w:t xml:space="preserve">Durante los ejercicios  fiscales  del  </w:t>
      </w:r>
      <w:r w:rsidR="00080825"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w:t>
      </w:r>
      <w:r w:rsidRPr="00C55FB2">
        <w:rPr>
          <w:rFonts w:ascii="Century" w:eastAsia="Times New Roman" w:hAnsi="Century" w:cs="Times New Roman"/>
          <w:bCs/>
          <w:lang w:val="es-ES" w:eastAsia="es-ES"/>
        </w:rPr>
        <w:t xml:space="preserve">respectivamente, el Gobierno Central ejecutó gastos por concepto de bienes y servicios por la suma de </w:t>
      </w:r>
      <w:r w:rsidRPr="00C55FB2">
        <w:rPr>
          <w:rFonts w:ascii="Century" w:eastAsia="Times New Roman" w:hAnsi="Century" w:cs="Times New Roman"/>
        </w:rPr>
        <w:t>RD$</w:t>
      </w:r>
      <w:r w:rsidR="00FA17CC" w:rsidRPr="00C55FB2">
        <w:rPr>
          <w:rFonts w:ascii="Century" w:eastAsia="Times New Roman" w:hAnsi="Century" w:cs="Times New Roman"/>
        </w:rPr>
        <w:t>33</w:t>
      </w:r>
      <w:proofErr w:type="gramStart"/>
      <w:r w:rsidR="00FA17CC" w:rsidRPr="00C55FB2">
        <w:rPr>
          <w:rFonts w:ascii="Century" w:eastAsia="Times New Roman" w:hAnsi="Century" w:cs="Times New Roman"/>
        </w:rPr>
        <w:t>,007,017.99</w:t>
      </w:r>
      <w:proofErr w:type="gramEnd"/>
      <w:r w:rsidRPr="00C55FB2">
        <w:rPr>
          <w:rFonts w:ascii="Century" w:eastAsia="Times New Roman" w:hAnsi="Century" w:cs="Times New Roman"/>
          <w:bCs/>
        </w:rPr>
        <w:t xml:space="preserve"> </w:t>
      </w:r>
      <w:r w:rsidRPr="00C55FB2">
        <w:rPr>
          <w:rFonts w:ascii="Century" w:eastAsia="Times New Roman" w:hAnsi="Century" w:cs="Times New Roman"/>
        </w:rPr>
        <w:t>y RD$</w:t>
      </w:r>
      <w:r w:rsidR="006B3062" w:rsidRPr="00C55FB2">
        <w:rPr>
          <w:rFonts w:ascii="Century" w:eastAsia="Times New Roman" w:hAnsi="Century" w:cs="Times New Roman"/>
        </w:rPr>
        <w:t>32,404,642.04</w:t>
      </w:r>
      <w:r w:rsidRPr="00C55FB2">
        <w:rPr>
          <w:rFonts w:ascii="Century" w:eastAsia="Times New Roman" w:hAnsi="Century" w:cs="Times New Roman"/>
          <w:bCs/>
        </w:rPr>
        <w:t xml:space="preserve">  sin</w:t>
      </w:r>
      <w:r w:rsidRPr="00C55FB2">
        <w:rPr>
          <w:rFonts w:ascii="Century" w:eastAsia="Times New Roman" w:hAnsi="Century" w:cs="Times New Roman"/>
          <w:bCs/>
          <w:sz w:val="20"/>
          <w:szCs w:val="20"/>
          <w:lang w:val="es-ES" w:eastAsia="es-ES"/>
        </w:rPr>
        <w:t xml:space="preserve"> </w:t>
      </w:r>
      <w:r w:rsidR="00FA17CC" w:rsidRPr="00C55FB2">
        <w:rPr>
          <w:rFonts w:ascii="Century" w:eastAsia="Times New Roman" w:hAnsi="Century" w:cs="Times New Roman"/>
          <w:bCs/>
          <w:lang w:val="es-ES" w:eastAsia="es-ES"/>
        </w:rPr>
        <w:t xml:space="preserve">reflejarse un aumento RD$602,375.95 </w:t>
      </w:r>
      <w:r w:rsidRPr="00C55FB2">
        <w:rPr>
          <w:rFonts w:ascii="Century" w:eastAsia="Times New Roman" w:hAnsi="Century" w:cs="Times New Roman"/>
        </w:rPr>
        <w:t xml:space="preserve">equivalente a un </w:t>
      </w:r>
      <w:r w:rsidR="009E71A8" w:rsidRPr="00C55FB2">
        <w:rPr>
          <w:rFonts w:ascii="Century" w:eastAsia="Times New Roman" w:hAnsi="Century" w:cs="Times New Roman"/>
        </w:rPr>
        <w:t>0</w:t>
      </w:r>
      <w:r w:rsidR="00CD7C34" w:rsidRPr="00C55FB2">
        <w:rPr>
          <w:rFonts w:ascii="Century" w:eastAsia="Times New Roman" w:hAnsi="Century" w:cs="Times New Roman"/>
        </w:rPr>
        <w:t>.</w:t>
      </w:r>
      <w:r w:rsidR="00FA17CC" w:rsidRPr="00C55FB2">
        <w:rPr>
          <w:rFonts w:ascii="Century" w:eastAsia="Times New Roman" w:hAnsi="Century" w:cs="Times New Roman"/>
        </w:rPr>
        <w:t>02</w:t>
      </w:r>
      <w:r w:rsidRPr="00C55FB2">
        <w:rPr>
          <w:rFonts w:ascii="Century" w:eastAsia="Times New Roman" w:hAnsi="Century" w:cs="Times New Roman"/>
        </w:rPr>
        <w:t xml:space="preserve"> %</w:t>
      </w:r>
      <w:r w:rsidRPr="00C55FB2">
        <w:rPr>
          <w:rFonts w:ascii="Century" w:eastAsia="Times New Roman" w:hAnsi="Century" w:cs="Times New Roman"/>
          <w:bCs/>
        </w:rPr>
        <w:t>, según el siguiente detalle:</w:t>
      </w:r>
    </w:p>
    <w:p w:rsidR="00722944" w:rsidRPr="00C55FB2" w:rsidRDefault="00722944" w:rsidP="00722944">
      <w:pPr>
        <w:spacing w:after="0"/>
        <w:jc w:val="both"/>
        <w:rPr>
          <w:rFonts w:ascii="Century" w:eastAsia="Times New Roman" w:hAnsi="Century" w:cs="Tahoma"/>
          <w:bCs/>
          <w:sz w:val="16"/>
          <w:szCs w:val="17"/>
          <w:lang w:eastAsia="es-ES"/>
        </w:rPr>
      </w:pPr>
    </w:p>
    <w:p w:rsidR="00722944" w:rsidRPr="00C55FB2" w:rsidRDefault="00722944" w:rsidP="00722944">
      <w:pPr>
        <w:spacing w:after="0" w:line="240" w:lineRule="auto"/>
        <w:jc w:val="both"/>
        <w:rPr>
          <w:rFonts w:ascii="Century" w:eastAsia="Times New Roman" w:hAnsi="Century" w:cs="Tahoma"/>
          <w:b/>
          <w:bCs/>
          <w:sz w:val="16"/>
          <w:szCs w:val="16"/>
          <w:lang w:eastAsia="es-ES"/>
        </w:rPr>
      </w:pPr>
    </w:p>
    <w:tbl>
      <w:tblPr>
        <w:tblW w:w="9105" w:type="dxa"/>
        <w:tblLook w:val="0000" w:firstRow="0" w:lastRow="0" w:firstColumn="0" w:lastColumn="0" w:noHBand="0" w:noVBand="0"/>
      </w:tblPr>
      <w:tblGrid>
        <w:gridCol w:w="5211"/>
        <w:gridCol w:w="1755"/>
        <w:gridCol w:w="273"/>
        <w:gridCol w:w="1866"/>
      </w:tblGrid>
      <w:tr w:rsidR="00722944" w:rsidRPr="00C55FB2" w:rsidTr="00807A80">
        <w:trPr>
          <w:trHeight w:val="255"/>
        </w:trPr>
        <w:tc>
          <w:tcPr>
            <w:tcW w:w="5211"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rPr>
              <w:t>Partidas</w:t>
            </w:r>
          </w:p>
        </w:tc>
        <w:tc>
          <w:tcPr>
            <w:tcW w:w="1755"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r w:rsidRPr="00C55FB2">
              <w:rPr>
                <w:rFonts w:ascii="Century" w:eastAsia="Times New Roman" w:hAnsi="Century" w:cs="Times New Roman"/>
                <w:b/>
                <w:sz w:val="16"/>
                <w:szCs w:val="16"/>
              </w:rPr>
              <w:t>2018</w:t>
            </w:r>
          </w:p>
        </w:tc>
        <w:tc>
          <w:tcPr>
            <w:tcW w:w="27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866" w:type="dxa"/>
            <w:shd w:val="clear" w:color="auto" w:fill="FFFFFF"/>
            <w:noWrap/>
            <w:vAlign w:val="bottom"/>
          </w:tcPr>
          <w:p w:rsidR="00722944" w:rsidRPr="00C55FB2" w:rsidRDefault="00722944" w:rsidP="00722944">
            <w:pPr>
              <w:spacing w:after="0" w:line="240" w:lineRule="auto"/>
              <w:jc w:val="right"/>
              <w:rPr>
                <w:rFonts w:ascii="Century" w:eastAsia="Times New Roman" w:hAnsi="Century" w:cs="Times New Roman"/>
                <w:b/>
                <w:sz w:val="16"/>
                <w:szCs w:val="17"/>
              </w:rPr>
            </w:pPr>
            <w:r w:rsidRPr="00C55FB2">
              <w:rPr>
                <w:rFonts w:ascii="Century" w:eastAsia="Times New Roman" w:hAnsi="Century" w:cs="Times New Roman"/>
                <w:b/>
                <w:sz w:val="16"/>
                <w:szCs w:val="16"/>
              </w:rPr>
              <w:t>2017</w:t>
            </w:r>
          </w:p>
        </w:tc>
      </w:tr>
      <w:tr w:rsidR="00722944" w:rsidRPr="00C55FB2" w:rsidTr="00807A80">
        <w:trPr>
          <w:trHeight w:val="255"/>
        </w:trPr>
        <w:tc>
          <w:tcPr>
            <w:tcW w:w="5211" w:type="dxa"/>
            <w:shd w:val="clear" w:color="auto" w:fill="FFFFFF"/>
            <w:noWrap/>
            <w:vAlign w:val="bottom"/>
          </w:tcPr>
          <w:p w:rsidR="00722944" w:rsidRPr="00C55FB2" w:rsidRDefault="00722944" w:rsidP="00EC25B2">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Servicios No Personales  </w:t>
            </w:r>
            <w:r w:rsidR="00C9267B" w:rsidRPr="00C55FB2">
              <w:rPr>
                <w:rFonts w:ascii="Century" w:eastAsia="Times New Roman" w:hAnsi="Century" w:cs="Times New Roman"/>
                <w:sz w:val="16"/>
                <w:szCs w:val="16"/>
              </w:rPr>
              <w:t>( NOTA XI</w:t>
            </w:r>
            <w:r w:rsidR="00EC25B2" w:rsidRPr="00C55FB2">
              <w:rPr>
                <w:rFonts w:ascii="Century" w:eastAsia="Times New Roman" w:hAnsi="Century" w:cs="Times New Roman"/>
                <w:sz w:val="16"/>
                <w:szCs w:val="16"/>
              </w:rPr>
              <w:t>X</w:t>
            </w:r>
            <w:r w:rsidR="00C9267B" w:rsidRPr="00C55FB2">
              <w:rPr>
                <w:rFonts w:ascii="Century" w:eastAsia="Times New Roman" w:hAnsi="Century" w:cs="Times New Roman"/>
                <w:sz w:val="16"/>
                <w:szCs w:val="16"/>
              </w:rPr>
              <w:t>)</w:t>
            </w:r>
            <w:r w:rsidR="00FA17CC" w:rsidRPr="00C55FB2">
              <w:rPr>
                <w:rFonts w:ascii="Century" w:eastAsia="Times New Roman" w:hAnsi="Century" w:cs="Times New Roman"/>
                <w:sz w:val="16"/>
                <w:szCs w:val="16"/>
              </w:rPr>
              <w:t xml:space="preserve">       </w:t>
            </w:r>
          </w:p>
        </w:tc>
        <w:tc>
          <w:tcPr>
            <w:tcW w:w="1755" w:type="dxa"/>
            <w:shd w:val="clear" w:color="auto" w:fill="FFFFFF"/>
            <w:noWrap/>
            <w:vAlign w:val="bottom"/>
          </w:tcPr>
          <w:p w:rsidR="0045540A" w:rsidRPr="00C55FB2" w:rsidRDefault="00F40A2D" w:rsidP="0046546E">
            <w:pPr>
              <w:spacing w:after="0" w:line="240" w:lineRule="auto"/>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9,493,488.67</w:t>
            </w:r>
          </w:p>
        </w:tc>
        <w:tc>
          <w:tcPr>
            <w:tcW w:w="27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866" w:type="dxa"/>
            <w:shd w:val="clear" w:color="auto" w:fill="FFFFFF"/>
            <w:noWrap/>
            <w:vAlign w:val="bottom"/>
          </w:tcPr>
          <w:p w:rsidR="00722944" w:rsidRPr="00C55FB2" w:rsidRDefault="006B3062"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8,551,167.59</w:t>
            </w:r>
          </w:p>
        </w:tc>
      </w:tr>
      <w:tr w:rsidR="00722944" w:rsidRPr="00C55FB2" w:rsidTr="00807A80">
        <w:trPr>
          <w:trHeight w:val="255"/>
        </w:trPr>
        <w:tc>
          <w:tcPr>
            <w:tcW w:w="5211" w:type="dxa"/>
            <w:shd w:val="clear" w:color="auto" w:fill="FFFFFF"/>
            <w:noWrap/>
            <w:vAlign w:val="bottom"/>
          </w:tcPr>
          <w:p w:rsidR="00722944" w:rsidRPr="00C55FB2" w:rsidRDefault="00722944" w:rsidP="00EC25B2">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 xml:space="preserve">Materiales y Suministros </w:t>
            </w:r>
            <w:r w:rsidR="00C9267B" w:rsidRPr="00C55FB2">
              <w:rPr>
                <w:rFonts w:ascii="Century" w:eastAsia="Times New Roman" w:hAnsi="Century" w:cs="Times New Roman"/>
                <w:sz w:val="16"/>
                <w:szCs w:val="16"/>
              </w:rPr>
              <w:t>( NOTA X</w:t>
            </w:r>
            <w:r w:rsidR="00EC25B2" w:rsidRPr="00C55FB2">
              <w:rPr>
                <w:rFonts w:ascii="Century" w:eastAsia="Times New Roman" w:hAnsi="Century" w:cs="Times New Roman"/>
                <w:sz w:val="16"/>
                <w:szCs w:val="16"/>
              </w:rPr>
              <w:t>X</w:t>
            </w:r>
            <w:r w:rsidR="00C9267B" w:rsidRPr="00C55FB2">
              <w:rPr>
                <w:rFonts w:ascii="Century" w:eastAsia="Times New Roman" w:hAnsi="Century" w:cs="Times New Roman"/>
                <w:sz w:val="16"/>
                <w:szCs w:val="16"/>
              </w:rPr>
              <w:t>)</w:t>
            </w:r>
          </w:p>
        </w:tc>
        <w:tc>
          <w:tcPr>
            <w:tcW w:w="1755" w:type="dxa"/>
            <w:tcBorders>
              <w:top w:val="nil"/>
              <w:left w:val="nil"/>
              <w:bottom w:val="single" w:sz="4" w:space="0" w:color="auto"/>
              <w:right w:val="nil"/>
            </w:tcBorders>
            <w:shd w:val="clear" w:color="auto" w:fill="FFFFFF"/>
            <w:noWrap/>
            <w:vAlign w:val="bottom"/>
          </w:tcPr>
          <w:p w:rsidR="00722944" w:rsidRPr="00C55FB2" w:rsidRDefault="00FA17CC" w:rsidP="0046546E">
            <w:pPr>
              <w:spacing w:after="0" w:line="240" w:lineRule="auto"/>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23,513,529.32</w:t>
            </w:r>
          </w:p>
        </w:tc>
        <w:tc>
          <w:tcPr>
            <w:tcW w:w="27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866" w:type="dxa"/>
            <w:tcBorders>
              <w:top w:val="nil"/>
              <w:left w:val="nil"/>
              <w:bottom w:val="single" w:sz="4" w:space="0" w:color="auto"/>
              <w:right w:val="nil"/>
            </w:tcBorders>
            <w:shd w:val="clear" w:color="auto" w:fill="FFFFFF"/>
            <w:noWrap/>
            <w:vAlign w:val="bottom"/>
          </w:tcPr>
          <w:p w:rsidR="00722944" w:rsidRPr="00C55FB2" w:rsidRDefault="006B3062" w:rsidP="00722944">
            <w:pPr>
              <w:spacing w:after="0" w:line="240" w:lineRule="auto"/>
              <w:jc w:val="right"/>
              <w:rPr>
                <w:rFonts w:ascii="Century" w:eastAsia="Times New Roman" w:hAnsi="Century" w:cs="Times New Roman"/>
                <w:color w:val="000000"/>
                <w:sz w:val="16"/>
                <w:szCs w:val="17"/>
              </w:rPr>
            </w:pPr>
            <w:r w:rsidRPr="00C55FB2">
              <w:rPr>
                <w:rFonts w:ascii="Century" w:eastAsia="Times New Roman" w:hAnsi="Century" w:cs="Times New Roman"/>
                <w:color w:val="000000"/>
                <w:sz w:val="16"/>
                <w:szCs w:val="17"/>
              </w:rPr>
              <w:t>24,404,642.14</w:t>
            </w:r>
          </w:p>
        </w:tc>
      </w:tr>
      <w:tr w:rsidR="00722944" w:rsidRPr="00C55FB2" w:rsidTr="00807A80">
        <w:trPr>
          <w:trHeight w:val="270"/>
        </w:trPr>
        <w:tc>
          <w:tcPr>
            <w:tcW w:w="5211"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rPr>
              <w:t>Total de Bienes y Servicios</w:t>
            </w:r>
          </w:p>
        </w:tc>
        <w:tc>
          <w:tcPr>
            <w:tcW w:w="1755" w:type="dxa"/>
            <w:tcBorders>
              <w:top w:val="nil"/>
              <w:left w:val="nil"/>
              <w:bottom w:val="double" w:sz="6" w:space="0" w:color="auto"/>
              <w:right w:val="nil"/>
            </w:tcBorders>
            <w:shd w:val="clear" w:color="auto" w:fill="FFFFFF"/>
            <w:noWrap/>
            <w:vAlign w:val="bottom"/>
          </w:tcPr>
          <w:p w:rsidR="00722944" w:rsidRPr="00C55FB2" w:rsidRDefault="00FA17CC" w:rsidP="00722944">
            <w:pPr>
              <w:spacing w:after="0" w:line="240" w:lineRule="auto"/>
              <w:jc w:val="both"/>
              <w:rPr>
                <w:rFonts w:ascii="Century" w:eastAsia="Times New Roman" w:hAnsi="Century" w:cs="Times New Roman"/>
                <w:b/>
                <w:color w:val="000000"/>
                <w:sz w:val="16"/>
                <w:szCs w:val="17"/>
              </w:rPr>
            </w:pPr>
            <w:r w:rsidRPr="00C55FB2">
              <w:rPr>
                <w:rFonts w:ascii="Century" w:eastAsia="Times New Roman" w:hAnsi="Century" w:cs="Times New Roman"/>
                <w:b/>
                <w:color w:val="000000"/>
                <w:sz w:val="16"/>
                <w:szCs w:val="17"/>
              </w:rPr>
              <w:t>33,007,017.99</w:t>
            </w:r>
          </w:p>
        </w:tc>
        <w:tc>
          <w:tcPr>
            <w:tcW w:w="27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Arial"/>
                <w:b/>
                <w:sz w:val="20"/>
                <w:szCs w:val="20"/>
              </w:rPr>
            </w:pPr>
          </w:p>
        </w:tc>
        <w:tc>
          <w:tcPr>
            <w:tcW w:w="1866" w:type="dxa"/>
            <w:tcBorders>
              <w:top w:val="nil"/>
              <w:left w:val="nil"/>
              <w:bottom w:val="double" w:sz="6" w:space="0" w:color="auto"/>
              <w:right w:val="nil"/>
            </w:tcBorders>
            <w:shd w:val="clear" w:color="auto" w:fill="FFFFFF"/>
            <w:noWrap/>
            <w:vAlign w:val="bottom"/>
          </w:tcPr>
          <w:p w:rsidR="00722944" w:rsidRPr="00C55FB2" w:rsidRDefault="006B3062"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7"/>
              </w:rPr>
              <w:t>32,404,642.04</w:t>
            </w:r>
          </w:p>
        </w:tc>
      </w:tr>
    </w:tbl>
    <w:p w:rsidR="00722944" w:rsidRPr="00C55FB2"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bookmarkStart w:id="57" w:name="_Toc208202858"/>
      <w:bookmarkStart w:id="58" w:name="_Toc207181438"/>
    </w:p>
    <w:p w:rsidR="00722944" w:rsidRPr="00C55FB2" w:rsidRDefault="00722944" w:rsidP="00722944">
      <w:pPr>
        <w:spacing w:after="0" w:line="240" w:lineRule="auto"/>
        <w:jc w:val="both"/>
        <w:rPr>
          <w:rFonts w:ascii="Century" w:eastAsia="Times New Roman" w:hAnsi="Century" w:cs="Times New Roman"/>
          <w:b/>
          <w:sz w:val="23"/>
          <w:szCs w:val="23"/>
          <w:lang w:eastAsia="es-ES"/>
        </w:rPr>
      </w:pPr>
    </w:p>
    <w:p w:rsidR="00E90B4C" w:rsidRPr="00C55FB2"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E90B4C" w:rsidRPr="00C55FB2"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C55FB2" w:rsidRDefault="00CA30F5" w:rsidP="00722944">
      <w:pPr>
        <w:keepNext/>
        <w:suppressAutoHyphens/>
        <w:spacing w:after="0" w:line="360" w:lineRule="auto"/>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Nota X</w:t>
      </w:r>
      <w:r w:rsidR="00EC25B2" w:rsidRPr="00C55FB2">
        <w:rPr>
          <w:rFonts w:ascii="Century" w:eastAsia="Times New Roman" w:hAnsi="Century" w:cs="Times New Roman"/>
          <w:b/>
          <w:bCs/>
          <w:lang w:eastAsia="es-ES"/>
        </w:rPr>
        <w:t>IX</w:t>
      </w:r>
      <w:r w:rsidR="00722944" w:rsidRPr="00C55FB2">
        <w:rPr>
          <w:rFonts w:ascii="Century" w:eastAsia="Times New Roman" w:hAnsi="Century" w:cs="Times New Roman"/>
          <w:b/>
          <w:bCs/>
          <w:lang w:eastAsia="es-ES"/>
        </w:rPr>
        <w:t>: Servicios no personales</w:t>
      </w:r>
      <w:bookmarkEnd w:id="57"/>
      <w:bookmarkEnd w:id="58"/>
      <w:r w:rsidR="00722944" w:rsidRPr="00C55FB2">
        <w:rPr>
          <w:rFonts w:ascii="Century" w:eastAsia="Times New Roman" w:hAnsi="Century" w:cs="Times New Roman"/>
          <w:b/>
          <w:bCs/>
          <w:lang w:eastAsia="es-ES"/>
        </w:rPr>
        <w:t xml:space="preserve">      </w:t>
      </w:r>
    </w:p>
    <w:p w:rsidR="00722944" w:rsidRPr="00C55FB2" w:rsidRDefault="00722944" w:rsidP="00722944">
      <w:pPr>
        <w:spacing w:after="0" w:line="360" w:lineRule="auto"/>
        <w:jc w:val="both"/>
        <w:rPr>
          <w:rFonts w:ascii="Century" w:eastAsia="Times New Roman" w:hAnsi="Century" w:cs="Tahoma"/>
          <w:b/>
          <w:bCs/>
          <w:sz w:val="16"/>
          <w:szCs w:val="17"/>
          <w:lang w:val="es-ES" w:eastAsia="es-ES"/>
        </w:rPr>
      </w:pPr>
    </w:p>
    <w:p w:rsidR="00722944" w:rsidRPr="00C55FB2"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t xml:space="preserve">Los gastos corrientes por concepto de Servicios No Personales incurridos durante los ejercicios  fiscales  del  </w:t>
      </w:r>
      <w:r w:rsidR="00C42C5D"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ascendieron a la suma de  RD$</w:t>
      </w:r>
      <w:r w:rsidR="00F40A2D" w:rsidRPr="00C55FB2">
        <w:rPr>
          <w:rFonts w:ascii="Century" w:eastAsia="Times New Roman" w:hAnsi="Century" w:cs="Times New Roman"/>
          <w:bCs/>
        </w:rPr>
        <w:t>9,493,488.67</w:t>
      </w:r>
      <w:r w:rsidRPr="00C55FB2">
        <w:rPr>
          <w:rFonts w:ascii="Century" w:eastAsia="Times New Roman" w:hAnsi="Century" w:cs="Times New Roman"/>
          <w:bCs/>
        </w:rPr>
        <w:t xml:space="preserve"> y RD$</w:t>
      </w:r>
      <w:r w:rsidR="006B3062" w:rsidRPr="00C55FB2">
        <w:rPr>
          <w:rFonts w:ascii="Century" w:eastAsia="Times New Roman" w:hAnsi="Century" w:cs="Times New Roman"/>
          <w:bCs/>
        </w:rPr>
        <w:t>8,</w:t>
      </w:r>
      <w:r w:rsidR="00FF5ABC" w:rsidRPr="00C55FB2">
        <w:rPr>
          <w:rFonts w:ascii="Century" w:eastAsia="Times New Roman" w:hAnsi="Century" w:cs="Times New Roman"/>
          <w:bCs/>
        </w:rPr>
        <w:t>355,830.80</w:t>
      </w:r>
      <w:r w:rsidRPr="00C55FB2">
        <w:rPr>
          <w:rFonts w:ascii="Century" w:eastAsia="Times New Roman" w:hAnsi="Century" w:cs="Times New Roman"/>
          <w:bCs/>
        </w:rPr>
        <w:t xml:space="preserve"> respectivamente  sin reflejándose una según el siguiente detalle:</w:t>
      </w:r>
    </w:p>
    <w:p w:rsidR="00722944" w:rsidRPr="00C55FB2" w:rsidRDefault="00722944" w:rsidP="00722944">
      <w:pPr>
        <w:spacing w:after="0"/>
        <w:jc w:val="both"/>
        <w:rPr>
          <w:rFonts w:ascii="Century" w:eastAsia="Times New Roman" w:hAnsi="Century" w:cs="Times New Roman"/>
          <w:szCs w:val="23"/>
        </w:rPr>
      </w:pPr>
    </w:p>
    <w:p w:rsidR="00722944" w:rsidRPr="00C55FB2" w:rsidRDefault="00722944" w:rsidP="00722944">
      <w:pPr>
        <w:spacing w:after="0" w:line="240" w:lineRule="auto"/>
        <w:jc w:val="both"/>
        <w:rPr>
          <w:rFonts w:ascii="Century" w:eastAsia="Times New Roman" w:hAnsi="Century" w:cs="Times New Roman"/>
          <w:b/>
          <w:bCs/>
          <w:szCs w:val="23"/>
        </w:rPr>
      </w:pPr>
    </w:p>
    <w:tbl>
      <w:tblPr>
        <w:tblW w:w="0" w:type="auto"/>
        <w:tblLayout w:type="fixed"/>
        <w:tblLook w:val="0000" w:firstRow="0" w:lastRow="0" w:firstColumn="0" w:lastColumn="0" w:noHBand="0" w:noVBand="0"/>
      </w:tblPr>
      <w:tblGrid>
        <w:gridCol w:w="5220"/>
        <w:gridCol w:w="1551"/>
        <w:gridCol w:w="251"/>
        <w:gridCol w:w="1576"/>
      </w:tblGrid>
      <w:tr w:rsidR="00722944" w:rsidRPr="00C55FB2" w:rsidTr="00F30DC6">
        <w:trPr>
          <w:trHeight w:val="240"/>
        </w:trPr>
        <w:tc>
          <w:tcPr>
            <w:tcW w:w="5220"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bCs/>
                <w:sz w:val="16"/>
                <w:szCs w:val="16"/>
              </w:rPr>
              <w:t>PARTIDAS</w:t>
            </w:r>
          </w:p>
        </w:tc>
        <w:tc>
          <w:tcPr>
            <w:tcW w:w="1551" w:type="dxa"/>
            <w:shd w:val="clear" w:color="auto" w:fill="FFFFFF"/>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2018</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576" w:type="dxa"/>
            <w:shd w:val="clear" w:color="auto" w:fill="FFFFFF"/>
            <w:vAlign w:val="bottom"/>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2017</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Servicios de Comunicaciones</w:t>
            </w:r>
          </w:p>
        </w:tc>
        <w:tc>
          <w:tcPr>
            <w:tcW w:w="1551" w:type="dxa"/>
            <w:shd w:val="clear" w:color="auto" w:fill="FFFFFF"/>
            <w:vAlign w:val="bottom"/>
          </w:tcPr>
          <w:p w:rsidR="00722944" w:rsidRPr="00C55FB2" w:rsidRDefault="00FE1381"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4,725,831.24</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B27327"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2,233,161.66</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Servicios Básicos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1,471,184.69</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B27327"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1,344,531.19</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Publicidad, Impresos y Encuadernaciones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397,451.00</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B27327"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772,379.30</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Viáticos dentro y fuera del País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515,763.90</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00566B"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418,179.57</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Transporte y Almacenaje</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252,560.03</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00566B"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198,119.98</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Alquileres y Rentas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505,468.00</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00566B"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1,310,</w:t>
            </w:r>
            <w:r w:rsidR="00FF5ABC" w:rsidRPr="00C55FB2">
              <w:rPr>
                <w:rFonts w:ascii="Century" w:eastAsia="Times New Roman" w:hAnsi="Century" w:cs="Times New Roman"/>
                <w:sz w:val="16"/>
                <w:szCs w:val="17"/>
              </w:rPr>
              <w:t>356.16</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Seguros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36,133.40</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CA30F5"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122,317.56</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Conservación, Reparaciones Menores y Construcciones</w:t>
            </w:r>
          </w:p>
        </w:tc>
        <w:tc>
          <w:tcPr>
            <w:tcW w:w="1551"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194,856.85</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C55FB2" w:rsidRDefault="00FF5AB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1,123,442.86</w:t>
            </w:r>
          </w:p>
        </w:tc>
      </w:tr>
      <w:tr w:rsidR="00722944" w:rsidRPr="00C55FB2" w:rsidTr="00F30DC6">
        <w:trPr>
          <w:trHeight w:val="240"/>
        </w:trPr>
        <w:tc>
          <w:tcPr>
            <w:tcW w:w="522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7"/>
              </w:rPr>
              <w:t>Otros Servicios No Personales</w:t>
            </w:r>
          </w:p>
        </w:tc>
        <w:tc>
          <w:tcPr>
            <w:tcW w:w="1551" w:type="dxa"/>
            <w:tcBorders>
              <w:top w:val="nil"/>
              <w:left w:val="nil"/>
              <w:bottom w:val="single" w:sz="4" w:space="0" w:color="auto"/>
              <w:right w:val="nil"/>
            </w:tcBorders>
            <w:noWrap/>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1,394,239.56</w:t>
            </w:r>
          </w:p>
        </w:tc>
        <w:tc>
          <w:tcPr>
            <w:tcW w:w="251" w:type="dxa"/>
            <w:shd w:val="clear" w:color="auto" w:fill="FFFFFF"/>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576" w:type="dxa"/>
            <w:tcBorders>
              <w:top w:val="nil"/>
              <w:left w:val="nil"/>
              <w:bottom w:val="single" w:sz="4" w:space="0" w:color="auto"/>
              <w:right w:val="nil"/>
            </w:tcBorders>
            <w:shd w:val="clear" w:color="auto" w:fill="FFFFFF"/>
            <w:vAlign w:val="bottom"/>
          </w:tcPr>
          <w:p w:rsidR="00722944" w:rsidRPr="00C55FB2" w:rsidRDefault="00FF5AB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2,177,873.71</w:t>
            </w:r>
          </w:p>
        </w:tc>
      </w:tr>
      <w:tr w:rsidR="00722944" w:rsidRPr="00C55FB2" w:rsidTr="00F30DC6">
        <w:trPr>
          <w:trHeight w:val="240"/>
        </w:trPr>
        <w:tc>
          <w:tcPr>
            <w:tcW w:w="5220" w:type="dxa"/>
            <w:shd w:val="clear" w:color="auto" w:fill="FFFFFF"/>
            <w:noWrap/>
            <w:vAlign w:val="bottom"/>
          </w:tcPr>
          <w:p w:rsidR="00722944" w:rsidRPr="00C55FB2" w:rsidRDefault="00085116" w:rsidP="00722944">
            <w:pPr>
              <w:spacing w:after="0" w:line="240" w:lineRule="auto"/>
              <w:jc w:val="both"/>
              <w:rPr>
                <w:rFonts w:ascii="Century" w:eastAsia="Times New Roman" w:hAnsi="Century" w:cs="Times New Roman"/>
                <w:bCs/>
                <w:sz w:val="16"/>
                <w:szCs w:val="17"/>
              </w:rPr>
            </w:pPr>
            <w:r w:rsidRPr="00C55FB2">
              <w:rPr>
                <w:rFonts w:ascii="Century" w:eastAsia="Times New Roman" w:hAnsi="Century" w:cs="Times New Roman"/>
                <w:bCs/>
                <w:sz w:val="16"/>
                <w:szCs w:val="16"/>
              </w:rPr>
              <w:lastRenderedPageBreak/>
              <w:t>t</w:t>
            </w:r>
            <w:r w:rsidR="00722944" w:rsidRPr="00C55FB2">
              <w:rPr>
                <w:rFonts w:ascii="Century" w:eastAsia="Times New Roman" w:hAnsi="Century" w:cs="Times New Roman"/>
                <w:bCs/>
                <w:sz w:val="16"/>
                <w:szCs w:val="16"/>
              </w:rPr>
              <w:t>otal Servicios No Personales</w:t>
            </w:r>
          </w:p>
        </w:tc>
        <w:tc>
          <w:tcPr>
            <w:tcW w:w="1551" w:type="dxa"/>
            <w:tcBorders>
              <w:top w:val="nil"/>
              <w:left w:val="nil"/>
              <w:bottom w:val="double" w:sz="6" w:space="0" w:color="auto"/>
              <w:right w:val="nil"/>
            </w:tcBorders>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9,493,488.67</w:t>
            </w:r>
          </w:p>
        </w:tc>
        <w:tc>
          <w:tcPr>
            <w:tcW w:w="251" w:type="dxa"/>
            <w:shd w:val="clear" w:color="auto" w:fill="FFFFFF"/>
            <w:vAlign w:val="bottom"/>
          </w:tcPr>
          <w:p w:rsidR="00722944" w:rsidRPr="00C55FB2" w:rsidRDefault="00722944" w:rsidP="00722944">
            <w:pPr>
              <w:spacing w:after="0" w:line="240" w:lineRule="auto"/>
              <w:ind w:firstLineChars="200" w:firstLine="320"/>
              <w:jc w:val="both"/>
              <w:rPr>
                <w:rFonts w:ascii="Century" w:eastAsia="Times New Roman" w:hAnsi="Century" w:cs="Times New Roman"/>
                <w:sz w:val="16"/>
                <w:szCs w:val="17"/>
              </w:rPr>
            </w:pPr>
          </w:p>
        </w:tc>
        <w:tc>
          <w:tcPr>
            <w:tcW w:w="1576" w:type="dxa"/>
            <w:tcBorders>
              <w:top w:val="nil"/>
              <w:left w:val="nil"/>
              <w:bottom w:val="double" w:sz="6" w:space="0" w:color="auto"/>
              <w:right w:val="nil"/>
            </w:tcBorders>
            <w:shd w:val="clear" w:color="auto" w:fill="FFFFFF"/>
            <w:vAlign w:val="bottom"/>
          </w:tcPr>
          <w:p w:rsidR="00722944" w:rsidRPr="00C55FB2" w:rsidRDefault="006B3062" w:rsidP="00FF5ABC">
            <w:pPr>
              <w:spacing w:after="0" w:line="240" w:lineRule="auto"/>
              <w:jc w:val="right"/>
              <w:rPr>
                <w:rFonts w:ascii="Century" w:eastAsia="Times New Roman" w:hAnsi="Century" w:cs="Times New Roman"/>
                <w:bCs/>
                <w:sz w:val="16"/>
                <w:szCs w:val="17"/>
              </w:rPr>
            </w:pPr>
            <w:r w:rsidRPr="00C55FB2">
              <w:rPr>
                <w:rFonts w:ascii="Century" w:eastAsia="Times New Roman" w:hAnsi="Century" w:cs="Times New Roman"/>
                <w:bCs/>
                <w:sz w:val="16"/>
                <w:szCs w:val="17"/>
              </w:rPr>
              <w:t>8,</w:t>
            </w:r>
            <w:r w:rsidR="00FF5ABC" w:rsidRPr="00C55FB2">
              <w:rPr>
                <w:rFonts w:ascii="Century" w:eastAsia="Times New Roman" w:hAnsi="Century" w:cs="Times New Roman"/>
                <w:bCs/>
                <w:sz w:val="16"/>
                <w:szCs w:val="17"/>
              </w:rPr>
              <w:t>355,830.80</w:t>
            </w:r>
          </w:p>
        </w:tc>
      </w:tr>
    </w:tbl>
    <w:p w:rsidR="00722944" w:rsidRPr="00C55FB2" w:rsidRDefault="00722944" w:rsidP="00722944">
      <w:pPr>
        <w:spacing w:after="0" w:line="240" w:lineRule="auto"/>
        <w:jc w:val="both"/>
        <w:rPr>
          <w:rFonts w:ascii="Century" w:eastAsia="Times New Roman" w:hAnsi="Century" w:cs="Times New Roman"/>
          <w:b/>
          <w:bCs/>
        </w:rPr>
      </w:pPr>
    </w:p>
    <w:p w:rsidR="00722944" w:rsidRPr="00C55FB2" w:rsidRDefault="00722944" w:rsidP="00722944">
      <w:pPr>
        <w:spacing w:after="0" w:line="240" w:lineRule="auto"/>
        <w:jc w:val="both"/>
        <w:rPr>
          <w:rFonts w:ascii="Century" w:eastAsia="Times New Roman" w:hAnsi="Century" w:cs="Times New Roman"/>
          <w:b/>
          <w:bCs/>
        </w:rPr>
      </w:pPr>
    </w:p>
    <w:p w:rsidR="00722944" w:rsidRPr="00C55FB2" w:rsidRDefault="00722944" w:rsidP="00722944">
      <w:pPr>
        <w:spacing w:after="0" w:line="240" w:lineRule="auto"/>
        <w:jc w:val="both"/>
        <w:rPr>
          <w:rFonts w:ascii="Century" w:eastAsia="Times New Roman" w:hAnsi="Century" w:cs="Times New Roman"/>
          <w:b/>
          <w:bCs/>
        </w:rPr>
      </w:pPr>
    </w:p>
    <w:p w:rsidR="00722944" w:rsidRPr="00C55FB2" w:rsidRDefault="00DD37BE" w:rsidP="00722944">
      <w:pPr>
        <w:keepNext/>
        <w:suppressAutoHyphens/>
        <w:spacing w:after="0" w:line="360" w:lineRule="auto"/>
        <w:jc w:val="both"/>
        <w:outlineLvl w:val="1"/>
        <w:rPr>
          <w:rFonts w:ascii="Century" w:eastAsia="Times New Roman" w:hAnsi="Century" w:cs="Times New Roman"/>
          <w:b/>
          <w:lang w:eastAsia="es-ES"/>
        </w:rPr>
      </w:pPr>
      <w:bookmarkStart w:id="59" w:name="_Toc208202859"/>
      <w:bookmarkStart w:id="60" w:name="_Toc207181439"/>
      <w:bookmarkStart w:id="61" w:name="_Toc155686922"/>
      <w:r w:rsidRPr="00C55FB2">
        <w:rPr>
          <w:rFonts w:ascii="Century" w:eastAsia="Times New Roman" w:hAnsi="Century" w:cs="Times New Roman"/>
          <w:b/>
          <w:bCs/>
          <w:lang w:eastAsia="es-ES"/>
        </w:rPr>
        <w:t>Nota X</w:t>
      </w:r>
      <w:r w:rsidR="00986A92" w:rsidRPr="00C55FB2">
        <w:rPr>
          <w:rFonts w:ascii="Century" w:eastAsia="Times New Roman" w:hAnsi="Century" w:cs="Times New Roman"/>
          <w:b/>
          <w:bCs/>
          <w:lang w:eastAsia="es-ES"/>
        </w:rPr>
        <w:t>X</w:t>
      </w:r>
      <w:r w:rsidR="00722944" w:rsidRPr="00C55FB2">
        <w:rPr>
          <w:rFonts w:ascii="Century" w:eastAsia="Times New Roman" w:hAnsi="Century" w:cs="Times New Roman"/>
          <w:b/>
          <w:bCs/>
          <w:lang w:eastAsia="es-ES"/>
        </w:rPr>
        <w:t>: Materiales y Suministros</w:t>
      </w:r>
      <w:bookmarkEnd w:id="59"/>
      <w:bookmarkEnd w:id="60"/>
      <w:bookmarkEnd w:id="61"/>
    </w:p>
    <w:p w:rsidR="00722944" w:rsidRPr="00C55FB2" w:rsidRDefault="00722944" w:rsidP="00722944">
      <w:pPr>
        <w:spacing w:after="0" w:line="360" w:lineRule="auto"/>
        <w:jc w:val="both"/>
        <w:rPr>
          <w:rFonts w:ascii="Century" w:eastAsia="Times New Roman" w:hAnsi="Century" w:cs="Times New Roman"/>
          <w:b/>
          <w:bCs/>
          <w:sz w:val="14"/>
          <w:szCs w:val="15"/>
        </w:rPr>
      </w:pPr>
    </w:p>
    <w:p w:rsidR="00722944" w:rsidRPr="00C55FB2" w:rsidRDefault="00722944" w:rsidP="00722944">
      <w:pPr>
        <w:spacing w:after="0" w:line="240" w:lineRule="auto"/>
        <w:jc w:val="both"/>
        <w:rPr>
          <w:rFonts w:ascii="Century" w:eastAsia="Times New Roman" w:hAnsi="Century" w:cs="Times New Roman"/>
          <w:bCs/>
          <w:szCs w:val="23"/>
        </w:rPr>
      </w:pPr>
      <w:r w:rsidRPr="00C55FB2">
        <w:rPr>
          <w:rFonts w:ascii="Century" w:eastAsia="Times New Roman" w:hAnsi="Century" w:cs="Times New Roman"/>
          <w:bCs/>
        </w:rPr>
        <w:t xml:space="preserve">Los gastos por concepto de Materiales y Suministros incurridos durante los ejercicios  fiscales  del  </w:t>
      </w:r>
      <w:r w:rsidR="008156CD"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fue de RD$</w:t>
      </w:r>
      <w:r w:rsidR="007B62D8" w:rsidRPr="00C55FB2">
        <w:rPr>
          <w:rFonts w:ascii="Century" w:eastAsia="Times New Roman" w:hAnsi="Century" w:cs="Times New Roman"/>
          <w:bCs/>
        </w:rPr>
        <w:t>23</w:t>
      </w:r>
      <w:proofErr w:type="gramStart"/>
      <w:r w:rsidR="007B62D8" w:rsidRPr="00C55FB2">
        <w:rPr>
          <w:rFonts w:ascii="Century" w:eastAsia="Times New Roman" w:hAnsi="Century" w:cs="Times New Roman"/>
          <w:bCs/>
        </w:rPr>
        <w:t>,513,529.32</w:t>
      </w:r>
      <w:proofErr w:type="gramEnd"/>
      <w:r w:rsidR="008E6CF9" w:rsidRPr="00C55FB2">
        <w:rPr>
          <w:rFonts w:ascii="Century" w:eastAsia="Times New Roman" w:hAnsi="Century" w:cs="Times New Roman"/>
          <w:bCs/>
        </w:rPr>
        <w:t xml:space="preserve"> </w:t>
      </w:r>
      <w:r w:rsidRPr="00C55FB2">
        <w:rPr>
          <w:rFonts w:ascii="Century" w:eastAsia="Times New Roman" w:hAnsi="Century" w:cs="Times New Roman"/>
          <w:bCs/>
        </w:rPr>
        <w:t>y RD$</w:t>
      </w:r>
      <w:r w:rsidR="00B67CDC" w:rsidRPr="00C55FB2">
        <w:rPr>
          <w:rFonts w:ascii="Century" w:eastAsia="Times New Roman" w:hAnsi="Century" w:cs="Times New Roman"/>
          <w:bCs/>
        </w:rPr>
        <w:t>26,185,078.13</w:t>
      </w:r>
      <w:r w:rsidRPr="00C55FB2">
        <w:rPr>
          <w:rFonts w:ascii="Century" w:eastAsia="Times New Roman" w:hAnsi="Century" w:cs="Times New Roman"/>
        </w:rPr>
        <w:t>,</w:t>
      </w:r>
      <w:r w:rsidRPr="00C55FB2">
        <w:rPr>
          <w:rFonts w:ascii="Century" w:eastAsia="Times New Roman" w:hAnsi="Century" w:cs="Times New Roman"/>
          <w:bCs/>
        </w:rPr>
        <w:t xml:space="preserve"> respectivamente sin reflejándose variación, según el siguiente detalle:</w:t>
      </w:r>
    </w:p>
    <w:p w:rsidR="00722944" w:rsidRPr="00C55FB2" w:rsidRDefault="00722944" w:rsidP="00722944">
      <w:pPr>
        <w:spacing w:after="0" w:line="240" w:lineRule="auto"/>
        <w:jc w:val="both"/>
        <w:rPr>
          <w:rFonts w:ascii="Century" w:eastAsia="Times New Roman" w:hAnsi="Century" w:cs="Times New Roman"/>
          <w:bCs/>
        </w:rPr>
      </w:pPr>
    </w:p>
    <w:p w:rsidR="00722944" w:rsidRPr="00C55FB2"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722944" w:rsidRPr="00C55FB2" w:rsidTr="00F30DC6">
        <w:trPr>
          <w:trHeight w:val="423"/>
        </w:trPr>
        <w:tc>
          <w:tcPr>
            <w:tcW w:w="4968" w:type="dxa"/>
            <w:shd w:val="clear" w:color="auto" w:fill="FFFFFF"/>
            <w:noWrap/>
            <w:vAlign w:val="center"/>
          </w:tcPr>
          <w:p w:rsidR="00722944" w:rsidRPr="00C55FB2" w:rsidRDefault="00722944" w:rsidP="00722944">
            <w:pPr>
              <w:keepNext/>
              <w:spacing w:after="0" w:line="240" w:lineRule="auto"/>
              <w:ind w:right="-714"/>
              <w:jc w:val="both"/>
              <w:outlineLvl w:val="6"/>
              <w:rPr>
                <w:rFonts w:ascii="Century" w:eastAsia="Times New Roman" w:hAnsi="Century" w:cs="Times New Roman"/>
                <w:b/>
                <w:sz w:val="16"/>
                <w:szCs w:val="16"/>
                <w:lang w:val="es-AR" w:eastAsia="es-ES" w:bidi="he-IL"/>
              </w:rPr>
            </w:pPr>
          </w:p>
          <w:p w:rsidR="00722944" w:rsidRPr="00C55FB2" w:rsidRDefault="00722944" w:rsidP="00722944">
            <w:pPr>
              <w:keepNext/>
              <w:spacing w:after="0" w:line="240" w:lineRule="auto"/>
              <w:ind w:right="-714"/>
              <w:jc w:val="both"/>
              <w:outlineLvl w:val="6"/>
              <w:rPr>
                <w:rFonts w:ascii="Century" w:eastAsia="Times New Roman" w:hAnsi="Century" w:cs="Times New Roman"/>
                <w:b/>
                <w:sz w:val="16"/>
                <w:szCs w:val="17"/>
                <w:lang w:val="es-AR" w:eastAsia="es-ES" w:bidi="he-IL"/>
              </w:rPr>
            </w:pPr>
            <w:r w:rsidRPr="00C55FB2">
              <w:rPr>
                <w:rFonts w:ascii="Century" w:eastAsia="Times New Roman" w:hAnsi="Century" w:cs="Times New Roman"/>
                <w:b/>
                <w:sz w:val="16"/>
                <w:szCs w:val="16"/>
                <w:lang w:val="es-AR" w:eastAsia="es-ES" w:bidi="he-IL"/>
              </w:rPr>
              <w:t>PARTIDAS</w:t>
            </w:r>
          </w:p>
        </w:tc>
        <w:tc>
          <w:tcPr>
            <w:tcW w:w="1656" w:type="dxa"/>
            <w:shd w:val="clear" w:color="auto" w:fill="FFFFFF"/>
            <w:vAlign w:val="center"/>
          </w:tcPr>
          <w:p w:rsidR="00722944" w:rsidRPr="00C55FB2" w:rsidRDefault="00722944" w:rsidP="00722944">
            <w:pPr>
              <w:spacing w:after="0" w:line="240" w:lineRule="auto"/>
              <w:jc w:val="right"/>
              <w:rPr>
                <w:rFonts w:ascii="Century" w:eastAsia="Times New Roman" w:hAnsi="Century" w:cs="Times New Roman"/>
                <w:b/>
                <w:sz w:val="16"/>
                <w:szCs w:val="17"/>
              </w:rPr>
            </w:pPr>
            <w:r w:rsidRPr="00C55FB2">
              <w:rPr>
                <w:rFonts w:ascii="Century" w:eastAsia="Times New Roman" w:hAnsi="Century" w:cs="Times New Roman"/>
                <w:b/>
                <w:sz w:val="16"/>
                <w:szCs w:val="16"/>
              </w:rPr>
              <w:t>2018</w:t>
            </w:r>
          </w:p>
        </w:tc>
        <w:tc>
          <w:tcPr>
            <w:tcW w:w="236"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
                <w:sz w:val="16"/>
                <w:szCs w:val="17"/>
              </w:rPr>
            </w:pPr>
          </w:p>
        </w:tc>
        <w:tc>
          <w:tcPr>
            <w:tcW w:w="1753" w:type="dxa"/>
            <w:shd w:val="clear" w:color="auto" w:fill="FFFFFF"/>
            <w:vAlign w:val="center"/>
          </w:tcPr>
          <w:p w:rsidR="00722944" w:rsidRPr="00C55FB2" w:rsidRDefault="00722944" w:rsidP="00722944">
            <w:pPr>
              <w:spacing w:after="0" w:line="240" w:lineRule="auto"/>
              <w:ind w:right="-108"/>
              <w:jc w:val="right"/>
              <w:rPr>
                <w:rFonts w:ascii="Century" w:eastAsia="Times New Roman" w:hAnsi="Century" w:cs="Times New Roman"/>
                <w:b/>
                <w:sz w:val="16"/>
                <w:szCs w:val="17"/>
              </w:rPr>
            </w:pPr>
            <w:r w:rsidRPr="00C55FB2">
              <w:rPr>
                <w:rFonts w:ascii="Century" w:eastAsia="Times New Roman" w:hAnsi="Century" w:cs="Times New Roman"/>
                <w:b/>
                <w:sz w:val="16"/>
                <w:szCs w:val="16"/>
              </w:rPr>
              <w:t>2017</w:t>
            </w:r>
          </w:p>
        </w:tc>
      </w:tr>
      <w:tr w:rsidR="00722944" w:rsidRPr="00C55FB2" w:rsidTr="00F30DC6">
        <w:trPr>
          <w:trHeight w:val="255"/>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Alimentos y  Productos Agroforestales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8,580,928.83</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10,697,470.78</w:t>
            </w:r>
          </w:p>
        </w:tc>
      </w:tr>
      <w:tr w:rsidR="00722944" w:rsidRPr="00C55FB2" w:rsidTr="00F30DC6">
        <w:trPr>
          <w:trHeight w:val="70"/>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Textiles y Vestuarios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88,548.00</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85,677.63</w:t>
            </w:r>
          </w:p>
        </w:tc>
      </w:tr>
      <w:tr w:rsidR="00722944" w:rsidRPr="00C55FB2" w:rsidTr="00F30DC6">
        <w:trPr>
          <w:trHeight w:val="70"/>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Productos de Papel, Cartón e Impresos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234,841.31</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956,316.86</w:t>
            </w:r>
          </w:p>
        </w:tc>
      </w:tr>
      <w:tr w:rsidR="00722944" w:rsidRPr="00C55FB2" w:rsidTr="00F30DC6">
        <w:trPr>
          <w:trHeight w:val="111"/>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Combustibles, Lubricantes, Productos Químicos y Conexos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4,982,812.00</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7,933,106.24</w:t>
            </w:r>
          </w:p>
        </w:tc>
      </w:tr>
      <w:tr w:rsidR="00722944" w:rsidRPr="00C55FB2" w:rsidTr="00F30DC6">
        <w:trPr>
          <w:trHeight w:val="102"/>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Productos de Cuero, Caucho y Plástico</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8,263,635.91</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4,918,789.86</w:t>
            </w:r>
          </w:p>
        </w:tc>
      </w:tr>
      <w:tr w:rsidR="00722944" w:rsidRPr="00C55FB2" w:rsidTr="00F30DC6">
        <w:trPr>
          <w:trHeight w:val="93"/>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Productos de Minerales Metálicos y no Metálicos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210,394.30</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257,996.25</w:t>
            </w:r>
          </w:p>
        </w:tc>
      </w:tr>
      <w:tr w:rsidR="00722944" w:rsidRPr="00C55FB2" w:rsidTr="00F30DC6">
        <w:trPr>
          <w:trHeight w:val="93"/>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Productos y Útiles Varios</w:t>
            </w:r>
          </w:p>
        </w:tc>
        <w:tc>
          <w:tcPr>
            <w:tcW w:w="1656" w:type="dxa"/>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1,152,368.97</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1,335,720.56</w:t>
            </w:r>
          </w:p>
        </w:tc>
      </w:tr>
      <w:tr w:rsidR="00722944" w:rsidRPr="00C55FB2" w:rsidTr="00F30DC6">
        <w:trPr>
          <w:trHeight w:val="255"/>
        </w:trPr>
        <w:tc>
          <w:tcPr>
            <w:tcW w:w="4968"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Total Materiales y Suministros</w:t>
            </w:r>
          </w:p>
        </w:tc>
        <w:tc>
          <w:tcPr>
            <w:tcW w:w="1656" w:type="dxa"/>
            <w:tcBorders>
              <w:top w:val="single" w:sz="4" w:space="0" w:color="auto"/>
              <w:left w:val="nil"/>
              <w:bottom w:val="double" w:sz="6" w:space="0" w:color="auto"/>
              <w:right w:val="nil"/>
            </w:tcBorders>
            <w:shd w:val="clear" w:color="auto" w:fill="FFFFFF"/>
            <w:vAlign w:val="bottom"/>
          </w:tcPr>
          <w:p w:rsidR="00722944" w:rsidRPr="00C55FB2" w:rsidRDefault="00F40A2D"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23,513,529.32</w:t>
            </w:r>
          </w:p>
        </w:tc>
        <w:tc>
          <w:tcPr>
            <w:tcW w:w="236"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753" w:type="dxa"/>
            <w:tcBorders>
              <w:top w:val="single" w:sz="4" w:space="0" w:color="auto"/>
              <w:left w:val="nil"/>
              <w:bottom w:val="double" w:sz="6" w:space="0" w:color="auto"/>
              <w:right w:val="nil"/>
            </w:tcBorders>
            <w:shd w:val="clear" w:color="auto" w:fill="FFFFFF"/>
            <w:vAlign w:val="bottom"/>
          </w:tcPr>
          <w:p w:rsidR="00722944" w:rsidRPr="00C55FB2" w:rsidRDefault="00B67CDC"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26,185,078.13</w:t>
            </w:r>
          </w:p>
        </w:tc>
      </w:tr>
    </w:tbl>
    <w:p w:rsidR="00722944" w:rsidRPr="00C55FB2"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62" w:name="_Toc208202860"/>
      <w:bookmarkStart w:id="63" w:name="_Toc207181440"/>
      <w:bookmarkStart w:id="64" w:name="_Toc155686924"/>
    </w:p>
    <w:p w:rsidR="005532E2" w:rsidRPr="00C55FB2"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E90B4C" w:rsidRPr="00C55FB2"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503804" w:rsidRPr="00C55FB2"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C55FB2"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C55FB2"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C55FB2"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Pr="00C55FB2"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722944" w:rsidRPr="00C55FB2" w:rsidRDefault="00941B2F" w:rsidP="00722944">
      <w:pPr>
        <w:keepNext/>
        <w:suppressAutoHyphens/>
        <w:spacing w:after="0" w:line="360" w:lineRule="auto"/>
        <w:jc w:val="both"/>
        <w:outlineLvl w:val="1"/>
        <w:rPr>
          <w:rFonts w:ascii="Century" w:eastAsia="Times New Roman" w:hAnsi="Century" w:cs="Times New Roman"/>
          <w:b/>
          <w:bCs/>
          <w:lang w:eastAsia="es-ES"/>
        </w:rPr>
      </w:pPr>
      <w:r w:rsidRPr="00C55FB2">
        <w:rPr>
          <w:rFonts w:ascii="Century" w:eastAsia="Times New Roman" w:hAnsi="Century" w:cs="Times New Roman"/>
          <w:b/>
          <w:bCs/>
          <w:lang w:eastAsia="es-ES"/>
        </w:rPr>
        <w:t>N</w:t>
      </w:r>
      <w:r w:rsidR="00994A8A" w:rsidRPr="00C55FB2">
        <w:rPr>
          <w:rFonts w:ascii="Century" w:eastAsia="Times New Roman" w:hAnsi="Century" w:cs="Times New Roman"/>
          <w:b/>
          <w:bCs/>
          <w:lang w:eastAsia="es-ES"/>
        </w:rPr>
        <w:t>ota X</w:t>
      </w:r>
      <w:r w:rsidR="00986A92" w:rsidRPr="00C55FB2">
        <w:rPr>
          <w:rFonts w:ascii="Century" w:eastAsia="Times New Roman" w:hAnsi="Century" w:cs="Times New Roman"/>
          <w:b/>
          <w:bCs/>
          <w:lang w:eastAsia="es-ES"/>
        </w:rPr>
        <w:t>X</w:t>
      </w:r>
      <w:r w:rsidRPr="00C55FB2">
        <w:rPr>
          <w:rFonts w:ascii="Century" w:eastAsia="Times New Roman" w:hAnsi="Century" w:cs="Times New Roman"/>
          <w:b/>
          <w:bCs/>
          <w:lang w:eastAsia="es-ES"/>
        </w:rPr>
        <w:t>I</w:t>
      </w:r>
      <w:r w:rsidR="00722944" w:rsidRPr="00C55FB2">
        <w:rPr>
          <w:rFonts w:ascii="Century" w:eastAsia="Times New Roman" w:hAnsi="Century" w:cs="Times New Roman"/>
          <w:b/>
          <w:bCs/>
          <w:lang w:eastAsia="es-ES"/>
        </w:rPr>
        <w:t>: Transferencias y Donaciones Corrientes</w:t>
      </w:r>
      <w:bookmarkEnd w:id="62"/>
      <w:bookmarkEnd w:id="63"/>
      <w:bookmarkEnd w:id="64"/>
    </w:p>
    <w:p w:rsidR="00722944" w:rsidRPr="00C55FB2" w:rsidRDefault="00722944" w:rsidP="00722944">
      <w:pPr>
        <w:spacing w:after="0" w:line="360" w:lineRule="auto"/>
        <w:jc w:val="both"/>
        <w:rPr>
          <w:rFonts w:ascii="Century" w:eastAsia="Times New Roman" w:hAnsi="Century" w:cs="Times New Roman"/>
          <w:b/>
          <w:bCs/>
          <w:szCs w:val="23"/>
        </w:rPr>
      </w:pPr>
    </w:p>
    <w:p w:rsidR="00722944" w:rsidRPr="00C55FB2"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t xml:space="preserve">Las transferencias Corrientes realizadas durante los ejercicios  fiscales  del  </w:t>
      </w:r>
      <w:r w:rsidR="00B96DFD"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ascendieron a la suma de RD$0.00</w:t>
      </w:r>
      <w:r w:rsidRPr="00C55FB2">
        <w:rPr>
          <w:rFonts w:ascii="Century" w:eastAsia="Times New Roman" w:hAnsi="Century" w:cs="Times New Roman"/>
        </w:rPr>
        <w:t xml:space="preserve">   </w:t>
      </w:r>
      <w:r w:rsidRPr="00C55FB2">
        <w:rPr>
          <w:rFonts w:ascii="Century" w:eastAsia="Times New Roman" w:hAnsi="Century" w:cs="Times New Roman"/>
          <w:bCs/>
        </w:rPr>
        <w:t xml:space="preserve">y RD$ </w:t>
      </w:r>
      <w:r w:rsidR="00DD37BE" w:rsidRPr="00C55FB2">
        <w:rPr>
          <w:rFonts w:ascii="Century" w:eastAsia="Times New Roman" w:hAnsi="Century" w:cs="Times New Roman"/>
          <w:bCs/>
        </w:rPr>
        <w:t>1</w:t>
      </w:r>
      <w:proofErr w:type="gramStart"/>
      <w:r w:rsidR="00DD37BE" w:rsidRPr="00C55FB2">
        <w:rPr>
          <w:rFonts w:ascii="Century" w:eastAsia="Times New Roman" w:hAnsi="Century" w:cs="Times New Roman"/>
          <w:bCs/>
        </w:rPr>
        <w:t>,014,453.00</w:t>
      </w:r>
      <w:proofErr w:type="gramEnd"/>
      <w:r w:rsidRPr="00C55FB2">
        <w:rPr>
          <w:rFonts w:ascii="Century" w:eastAsia="Times New Roman" w:hAnsi="Century" w:cs="Times New Roman"/>
          <w:bCs/>
        </w:rPr>
        <w:t xml:space="preserve">, respectivamente </w:t>
      </w:r>
      <w:r w:rsidR="008C0AA2" w:rsidRPr="00C55FB2">
        <w:rPr>
          <w:rFonts w:ascii="Century" w:eastAsia="Times New Roman" w:hAnsi="Century" w:cs="Times New Roman"/>
          <w:bCs/>
        </w:rPr>
        <w:t xml:space="preserve"> sin </w:t>
      </w:r>
      <w:proofErr w:type="spellStart"/>
      <w:r w:rsidRPr="00C55FB2">
        <w:rPr>
          <w:rFonts w:ascii="Century" w:eastAsia="Times New Roman" w:hAnsi="Century" w:cs="Times New Roman"/>
          <w:bCs/>
        </w:rPr>
        <w:t>refleján</w:t>
      </w:r>
      <w:r w:rsidR="008C0AA2" w:rsidRPr="00C55FB2">
        <w:rPr>
          <w:rFonts w:ascii="Century" w:eastAsia="Times New Roman" w:hAnsi="Century" w:cs="Times New Roman"/>
          <w:bCs/>
        </w:rPr>
        <w:t>se</w:t>
      </w:r>
      <w:proofErr w:type="spellEnd"/>
      <w:r w:rsidRPr="00C55FB2">
        <w:rPr>
          <w:rFonts w:ascii="Century" w:eastAsia="Times New Roman" w:hAnsi="Century" w:cs="Times New Roman"/>
          <w:bCs/>
        </w:rPr>
        <w:t xml:space="preserve"> </w:t>
      </w:r>
      <w:r w:rsidR="008C0AA2" w:rsidRPr="00C55FB2">
        <w:rPr>
          <w:rFonts w:ascii="Century" w:eastAsia="Times New Roman" w:hAnsi="Century" w:cs="Times New Roman"/>
          <w:bCs/>
        </w:rPr>
        <w:t>ninguna variación</w:t>
      </w:r>
      <w:r w:rsidRPr="00C55FB2">
        <w:rPr>
          <w:rFonts w:ascii="Century" w:eastAsia="Times New Roman" w:hAnsi="Century" w:cs="Times New Roman"/>
          <w:bCs/>
        </w:rPr>
        <w:t>, según el siguiente detalle:</w:t>
      </w:r>
    </w:p>
    <w:p w:rsidR="00722944" w:rsidRPr="00C55FB2" w:rsidRDefault="00722944" w:rsidP="00722944">
      <w:pPr>
        <w:spacing w:after="0"/>
        <w:jc w:val="both"/>
        <w:rPr>
          <w:rFonts w:ascii="Century" w:eastAsia="Times New Roman" w:hAnsi="Century" w:cs="Times New Roman"/>
          <w:b/>
          <w:bCs/>
        </w:rPr>
      </w:pPr>
      <w:r w:rsidRPr="00C55FB2">
        <w:rPr>
          <w:rFonts w:ascii="Century" w:eastAsia="Times New Roman" w:hAnsi="Century" w:cs="Times New Roman"/>
          <w:b/>
          <w:bCs/>
        </w:rPr>
        <w:t xml:space="preserve">  </w:t>
      </w:r>
    </w:p>
    <w:p w:rsidR="00722944" w:rsidRPr="00C55FB2"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C55FB2" w:rsidTr="00F30DC6">
        <w:trPr>
          <w:trHeight w:val="255"/>
        </w:trPr>
        <w:tc>
          <w:tcPr>
            <w:tcW w:w="5040"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
                <w:bCs/>
                <w:sz w:val="16"/>
                <w:szCs w:val="17"/>
              </w:rPr>
            </w:pPr>
            <w:r w:rsidRPr="00C55FB2">
              <w:rPr>
                <w:rFonts w:ascii="Century" w:eastAsia="Times New Roman" w:hAnsi="Century" w:cs="Times New Roman"/>
                <w:b/>
                <w:sz w:val="16"/>
                <w:szCs w:val="16"/>
              </w:rPr>
              <w:t>PARTIDAS</w:t>
            </w:r>
          </w:p>
        </w:tc>
        <w:tc>
          <w:tcPr>
            <w:tcW w:w="1320" w:type="dxa"/>
            <w:shd w:val="clear" w:color="auto" w:fill="FFFFFF"/>
            <w:vAlign w:val="center"/>
          </w:tcPr>
          <w:p w:rsidR="00722944" w:rsidRPr="00C55FB2" w:rsidRDefault="00722944" w:rsidP="00722944">
            <w:pPr>
              <w:spacing w:after="0" w:line="240" w:lineRule="auto"/>
              <w:jc w:val="center"/>
              <w:rPr>
                <w:rFonts w:ascii="Century" w:eastAsia="Times New Roman" w:hAnsi="Century" w:cs="Times New Roman"/>
                <w:b/>
                <w:bCs/>
                <w:sz w:val="16"/>
                <w:szCs w:val="17"/>
              </w:rPr>
            </w:pPr>
            <w:r w:rsidRPr="00C55FB2">
              <w:rPr>
                <w:rFonts w:ascii="Century" w:eastAsia="Times New Roman" w:hAnsi="Century" w:cs="Times New Roman"/>
                <w:b/>
                <w:bCs/>
                <w:sz w:val="16"/>
                <w:szCs w:val="16"/>
              </w:rPr>
              <w:t>2018</w:t>
            </w:r>
          </w:p>
        </w:tc>
        <w:tc>
          <w:tcPr>
            <w:tcW w:w="263" w:type="dxa"/>
            <w:shd w:val="clear" w:color="auto" w:fill="FFFFFF"/>
            <w:noWrap/>
            <w:vAlign w:val="center"/>
          </w:tcPr>
          <w:p w:rsidR="00722944" w:rsidRPr="00C55FB2"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C55FB2" w:rsidRDefault="00722944" w:rsidP="00722944">
            <w:pPr>
              <w:spacing w:after="0" w:line="240" w:lineRule="auto"/>
              <w:jc w:val="right"/>
              <w:rPr>
                <w:rFonts w:ascii="Century" w:eastAsia="Times New Roman" w:hAnsi="Century" w:cs="Times New Roman"/>
                <w:b/>
                <w:bCs/>
                <w:sz w:val="16"/>
                <w:szCs w:val="17"/>
              </w:rPr>
            </w:pPr>
            <w:r w:rsidRPr="00C55FB2">
              <w:rPr>
                <w:rFonts w:ascii="Century" w:eastAsia="Times New Roman" w:hAnsi="Century" w:cs="Times New Roman"/>
                <w:b/>
                <w:bCs/>
                <w:sz w:val="16"/>
                <w:szCs w:val="16"/>
              </w:rPr>
              <w:t>2017</w:t>
            </w:r>
          </w:p>
        </w:tc>
      </w:tr>
      <w:tr w:rsidR="00722944" w:rsidRPr="00C55FB2" w:rsidTr="00F30DC6">
        <w:trPr>
          <w:trHeight w:val="189"/>
        </w:trPr>
        <w:tc>
          <w:tcPr>
            <w:tcW w:w="5040"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Transferencias al Sector Privado</w:t>
            </w:r>
          </w:p>
        </w:tc>
        <w:tc>
          <w:tcPr>
            <w:tcW w:w="1320" w:type="dxa"/>
            <w:shd w:val="clear" w:color="auto" w:fill="FFFFFF"/>
            <w:vAlign w:val="bottom"/>
          </w:tcPr>
          <w:p w:rsidR="00722944" w:rsidRPr="00C55FB2" w:rsidRDefault="00503804"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0.00</w:t>
            </w:r>
          </w:p>
        </w:tc>
        <w:tc>
          <w:tcPr>
            <w:tcW w:w="26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C55FB2" w:rsidRDefault="008D6628"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1,101,545.82</w:t>
            </w:r>
          </w:p>
        </w:tc>
      </w:tr>
      <w:tr w:rsidR="00722944" w:rsidRPr="00C55FB2" w:rsidTr="00F30DC6">
        <w:trPr>
          <w:trHeight w:val="135"/>
        </w:trPr>
        <w:tc>
          <w:tcPr>
            <w:tcW w:w="5040"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r w:rsidRPr="00C55FB2">
              <w:rPr>
                <w:rFonts w:ascii="Century" w:eastAsia="Times New Roman" w:hAnsi="Century" w:cs="Times New Roman"/>
                <w:sz w:val="16"/>
                <w:szCs w:val="16"/>
              </w:rPr>
              <w:t>Transferencias al Sector Externo</w:t>
            </w:r>
          </w:p>
        </w:tc>
        <w:tc>
          <w:tcPr>
            <w:tcW w:w="1320" w:type="dxa"/>
            <w:tcBorders>
              <w:top w:val="nil"/>
              <w:left w:val="nil"/>
              <w:bottom w:val="single" w:sz="4" w:space="0" w:color="auto"/>
              <w:right w:val="nil"/>
            </w:tcBorders>
            <w:shd w:val="clear" w:color="auto" w:fill="FFFFFF"/>
            <w:vAlign w:val="bottom"/>
          </w:tcPr>
          <w:p w:rsidR="00722944" w:rsidRPr="00C55FB2" w:rsidRDefault="00503804"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0.00</w:t>
            </w:r>
          </w:p>
        </w:tc>
        <w:tc>
          <w:tcPr>
            <w:tcW w:w="263" w:type="dxa"/>
            <w:shd w:val="clear" w:color="auto" w:fill="FFFFFF"/>
            <w:noWrap/>
            <w:vAlign w:val="bottom"/>
          </w:tcPr>
          <w:p w:rsidR="00722944" w:rsidRPr="00C55FB2" w:rsidRDefault="00722944" w:rsidP="00722944">
            <w:pPr>
              <w:spacing w:after="0" w:line="240" w:lineRule="auto"/>
              <w:jc w:val="both"/>
              <w:rPr>
                <w:rFonts w:ascii="Century" w:eastAsia="Times New Roman" w:hAnsi="Century" w:cs="Times New Roman"/>
                <w:sz w:val="16"/>
                <w:szCs w:val="17"/>
              </w:rPr>
            </w:pPr>
          </w:p>
        </w:tc>
        <w:tc>
          <w:tcPr>
            <w:tcW w:w="1976" w:type="dxa"/>
            <w:tcBorders>
              <w:top w:val="nil"/>
              <w:left w:val="nil"/>
              <w:bottom w:val="single" w:sz="4" w:space="0" w:color="auto"/>
              <w:right w:val="nil"/>
            </w:tcBorders>
            <w:shd w:val="clear" w:color="auto" w:fill="FFFFFF"/>
            <w:vAlign w:val="bottom"/>
          </w:tcPr>
          <w:p w:rsidR="00722944" w:rsidRPr="00C55FB2" w:rsidRDefault="008D6628" w:rsidP="00722944">
            <w:pPr>
              <w:spacing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0.00</w:t>
            </w:r>
          </w:p>
        </w:tc>
      </w:tr>
      <w:tr w:rsidR="00722944" w:rsidRPr="00C55FB2" w:rsidTr="00F30DC6">
        <w:trPr>
          <w:trHeight w:val="255"/>
        </w:trPr>
        <w:tc>
          <w:tcPr>
            <w:tcW w:w="5040" w:type="dxa"/>
            <w:shd w:val="clear" w:color="auto" w:fill="FFFFFF"/>
            <w:noWrap/>
            <w:vAlign w:val="bottom"/>
          </w:tcPr>
          <w:p w:rsidR="00722944" w:rsidRPr="00C55FB2" w:rsidRDefault="00722944" w:rsidP="00722944">
            <w:pPr>
              <w:keepNext/>
              <w:spacing w:before="80" w:after="0" w:line="240" w:lineRule="auto"/>
              <w:ind w:right="-714"/>
              <w:jc w:val="both"/>
              <w:outlineLvl w:val="6"/>
              <w:rPr>
                <w:rFonts w:ascii="Century" w:eastAsia="Times New Roman" w:hAnsi="Century" w:cs="Times New Roman"/>
                <w:sz w:val="16"/>
                <w:szCs w:val="17"/>
                <w:lang w:val="es-AR" w:eastAsia="es-ES" w:bidi="he-IL"/>
              </w:rPr>
            </w:pPr>
            <w:r w:rsidRPr="00C55FB2">
              <w:rPr>
                <w:rFonts w:ascii="Century" w:eastAsia="Times New Roman" w:hAnsi="Century" w:cs="Times New Roman"/>
                <w:sz w:val="16"/>
                <w:szCs w:val="16"/>
                <w:lang w:val="es-AR" w:eastAsia="es-ES" w:bidi="he-IL"/>
              </w:rPr>
              <w:t>Total Transferencias Corrientes</w:t>
            </w:r>
          </w:p>
        </w:tc>
        <w:tc>
          <w:tcPr>
            <w:tcW w:w="1320" w:type="dxa"/>
            <w:tcBorders>
              <w:top w:val="single" w:sz="4" w:space="0" w:color="auto"/>
              <w:left w:val="nil"/>
              <w:bottom w:val="double" w:sz="6" w:space="0" w:color="auto"/>
              <w:right w:val="nil"/>
            </w:tcBorders>
            <w:shd w:val="clear" w:color="auto" w:fill="FFFFFF"/>
            <w:vAlign w:val="bottom"/>
          </w:tcPr>
          <w:p w:rsidR="00722944" w:rsidRPr="00C55FB2" w:rsidRDefault="00722944" w:rsidP="00722944">
            <w:pPr>
              <w:spacing w:after="0" w:line="240" w:lineRule="auto"/>
              <w:jc w:val="right"/>
              <w:rPr>
                <w:rFonts w:ascii="Century" w:eastAsia="Times New Roman" w:hAnsi="Century" w:cs="Times New Roman"/>
                <w:sz w:val="16"/>
                <w:szCs w:val="16"/>
              </w:rPr>
            </w:pPr>
          </w:p>
        </w:tc>
        <w:tc>
          <w:tcPr>
            <w:tcW w:w="263" w:type="dxa"/>
            <w:shd w:val="clear" w:color="auto" w:fill="FFFFFF"/>
            <w:noWrap/>
            <w:vAlign w:val="bottom"/>
          </w:tcPr>
          <w:p w:rsidR="00722944" w:rsidRPr="00C55FB2" w:rsidRDefault="00722944" w:rsidP="00722944">
            <w:pPr>
              <w:spacing w:before="80" w:after="0" w:line="240" w:lineRule="auto"/>
              <w:jc w:val="both"/>
              <w:rPr>
                <w:rFonts w:ascii="Century" w:eastAsia="Times New Roman" w:hAnsi="Century" w:cs="Times New Roman"/>
                <w:sz w:val="16"/>
                <w:szCs w:val="17"/>
              </w:rPr>
            </w:pPr>
          </w:p>
        </w:tc>
        <w:tc>
          <w:tcPr>
            <w:tcW w:w="1976" w:type="dxa"/>
            <w:tcBorders>
              <w:top w:val="single" w:sz="4" w:space="0" w:color="auto"/>
              <w:left w:val="nil"/>
              <w:bottom w:val="double" w:sz="6" w:space="0" w:color="auto"/>
              <w:right w:val="nil"/>
            </w:tcBorders>
            <w:shd w:val="clear" w:color="auto" w:fill="FFFFFF"/>
            <w:vAlign w:val="bottom"/>
          </w:tcPr>
          <w:p w:rsidR="00722944" w:rsidRPr="00C55FB2" w:rsidRDefault="008D6628" w:rsidP="00722944">
            <w:pPr>
              <w:spacing w:before="80" w:after="0" w:line="240" w:lineRule="auto"/>
              <w:jc w:val="right"/>
              <w:rPr>
                <w:rFonts w:ascii="Century" w:eastAsia="Times New Roman" w:hAnsi="Century" w:cs="Times New Roman"/>
                <w:sz w:val="16"/>
                <w:szCs w:val="17"/>
              </w:rPr>
            </w:pPr>
            <w:r w:rsidRPr="00C55FB2">
              <w:rPr>
                <w:rFonts w:ascii="Century" w:eastAsia="Times New Roman" w:hAnsi="Century" w:cs="Times New Roman"/>
                <w:sz w:val="16"/>
                <w:szCs w:val="17"/>
              </w:rPr>
              <w:t>1,101,545.82</w:t>
            </w:r>
          </w:p>
        </w:tc>
      </w:tr>
    </w:tbl>
    <w:p w:rsidR="00722944" w:rsidRPr="00C55FB2" w:rsidRDefault="00722944" w:rsidP="00722944">
      <w:pPr>
        <w:spacing w:after="0" w:line="240" w:lineRule="auto"/>
        <w:jc w:val="both"/>
        <w:rPr>
          <w:rFonts w:ascii="Century" w:eastAsia="Times New Roman" w:hAnsi="Century" w:cs="Times New Roman"/>
          <w:b/>
          <w:bCs/>
        </w:rPr>
      </w:pPr>
    </w:p>
    <w:p w:rsidR="00722944" w:rsidRPr="00C55FB2" w:rsidRDefault="00722944" w:rsidP="00722944">
      <w:pPr>
        <w:spacing w:after="0" w:line="240" w:lineRule="auto"/>
        <w:jc w:val="both"/>
        <w:rPr>
          <w:rFonts w:ascii="Century" w:eastAsia="Times New Roman" w:hAnsi="Century" w:cs="Times New Roman"/>
          <w:b/>
          <w:bCs/>
        </w:rPr>
      </w:pPr>
    </w:p>
    <w:p w:rsidR="005532E2" w:rsidRPr="00C55FB2"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C55FB2"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C55FB2" w:rsidRDefault="00722944" w:rsidP="00722944">
      <w:pPr>
        <w:spacing w:after="0"/>
        <w:jc w:val="both"/>
        <w:rPr>
          <w:rFonts w:ascii="Century" w:eastAsia="Times New Roman" w:hAnsi="Century" w:cs="Times New Roman"/>
          <w:b/>
          <w:bCs/>
        </w:rPr>
      </w:pPr>
    </w:p>
    <w:p w:rsidR="008E6CF9" w:rsidRPr="00C55FB2" w:rsidRDefault="008E6CF9" w:rsidP="00722944">
      <w:pPr>
        <w:spacing w:after="0"/>
        <w:jc w:val="both"/>
        <w:rPr>
          <w:rFonts w:ascii="Century" w:eastAsia="Times New Roman" w:hAnsi="Century" w:cs="Times New Roman"/>
          <w:b/>
          <w:bCs/>
        </w:rPr>
      </w:pPr>
    </w:p>
    <w:p w:rsidR="00941B2F" w:rsidRPr="00C55FB2" w:rsidRDefault="00941B2F" w:rsidP="00722944">
      <w:pPr>
        <w:spacing w:after="0"/>
        <w:jc w:val="both"/>
        <w:rPr>
          <w:rFonts w:ascii="Century" w:eastAsia="Times New Roman" w:hAnsi="Century" w:cs="Times New Roman"/>
          <w:b/>
          <w:bCs/>
        </w:rPr>
      </w:pPr>
    </w:p>
    <w:p w:rsidR="00722944" w:rsidRPr="00C55FB2" w:rsidRDefault="001C56BE" w:rsidP="00722944">
      <w:pPr>
        <w:spacing w:after="0"/>
        <w:jc w:val="both"/>
        <w:rPr>
          <w:rFonts w:ascii="Century" w:eastAsia="Times New Roman" w:hAnsi="Century" w:cs="Times New Roman"/>
          <w:b/>
          <w:bCs/>
        </w:rPr>
      </w:pPr>
      <w:r w:rsidRPr="00C55FB2">
        <w:rPr>
          <w:rFonts w:ascii="Century" w:eastAsia="Times New Roman" w:hAnsi="Century" w:cs="Times New Roman"/>
          <w:b/>
          <w:bCs/>
        </w:rPr>
        <w:t>Nota X</w:t>
      </w:r>
      <w:r w:rsidR="00986A92" w:rsidRPr="00C55FB2">
        <w:rPr>
          <w:rFonts w:ascii="Century" w:eastAsia="Times New Roman" w:hAnsi="Century" w:cs="Times New Roman"/>
          <w:b/>
          <w:bCs/>
        </w:rPr>
        <w:t>X</w:t>
      </w:r>
      <w:r w:rsidR="00941B2F" w:rsidRPr="00C55FB2">
        <w:rPr>
          <w:rFonts w:ascii="Century" w:eastAsia="Times New Roman" w:hAnsi="Century" w:cs="Times New Roman"/>
          <w:b/>
          <w:bCs/>
        </w:rPr>
        <w:t>II</w:t>
      </w:r>
      <w:r w:rsidR="00722944" w:rsidRPr="00C55FB2">
        <w:rPr>
          <w:rFonts w:ascii="Century" w:eastAsia="Times New Roman" w:hAnsi="Century" w:cs="Times New Roman"/>
          <w:b/>
          <w:bCs/>
        </w:rPr>
        <w:t>: Depreciaciones y Amortizaciones</w:t>
      </w:r>
    </w:p>
    <w:p w:rsidR="00722944" w:rsidRPr="00C55FB2" w:rsidRDefault="00722944" w:rsidP="00722944">
      <w:pPr>
        <w:spacing w:after="0"/>
        <w:jc w:val="both"/>
        <w:rPr>
          <w:rFonts w:ascii="Century" w:eastAsia="Times New Roman" w:hAnsi="Century" w:cs="Times New Roman"/>
          <w:bCs/>
        </w:rPr>
      </w:pPr>
    </w:p>
    <w:p w:rsidR="00722944" w:rsidRPr="00722944" w:rsidRDefault="00722944" w:rsidP="00722944">
      <w:pPr>
        <w:spacing w:after="0"/>
        <w:jc w:val="both"/>
        <w:rPr>
          <w:rFonts w:ascii="Century" w:eastAsia="Times New Roman" w:hAnsi="Century" w:cs="Times New Roman"/>
          <w:bCs/>
        </w:rPr>
      </w:pPr>
      <w:r w:rsidRPr="00C55FB2">
        <w:rPr>
          <w:rFonts w:ascii="Century" w:eastAsia="Times New Roman" w:hAnsi="Century" w:cs="Times New Roman"/>
          <w:bCs/>
        </w:rPr>
        <w:t xml:space="preserve">Las Depreciaciones y amortizaciones realizadas durante los ejercicios  fiscales  del  </w:t>
      </w:r>
      <w:r w:rsidR="00B36EC3" w:rsidRPr="00C55FB2">
        <w:rPr>
          <w:rFonts w:ascii="Century" w:eastAsia="Times New Roman" w:hAnsi="Century" w:cs="Times New Roman"/>
          <w:bCs/>
        </w:rPr>
        <w:t>3</w:t>
      </w:r>
      <w:r w:rsidR="00A92F9D" w:rsidRPr="00C55FB2">
        <w:rPr>
          <w:rFonts w:ascii="Century" w:eastAsia="Times New Roman" w:hAnsi="Century" w:cs="Times New Roman"/>
          <w:bCs/>
        </w:rPr>
        <w:t>0</w:t>
      </w:r>
      <w:r w:rsidRPr="00C55FB2">
        <w:rPr>
          <w:rFonts w:ascii="Century" w:eastAsia="Times New Roman" w:hAnsi="Century" w:cs="Times New Roman"/>
          <w:bCs/>
        </w:rPr>
        <w:t xml:space="preserve"> de </w:t>
      </w:r>
      <w:r w:rsidR="00A92F9D" w:rsidRPr="00C55FB2">
        <w:rPr>
          <w:rFonts w:ascii="Century" w:eastAsia="Times New Roman" w:hAnsi="Century" w:cs="Times New Roman"/>
          <w:bCs/>
        </w:rPr>
        <w:t>Septiembre</w:t>
      </w:r>
      <w:r w:rsidRPr="00C55FB2">
        <w:rPr>
          <w:rFonts w:ascii="Century" w:eastAsia="Times New Roman" w:hAnsi="Century" w:cs="Times New Roman"/>
          <w:bCs/>
        </w:rPr>
        <w:t xml:space="preserve"> del  2018 y 2017, ascendieron a la suma de RD</w:t>
      </w:r>
      <w:r w:rsidR="00941B2F" w:rsidRPr="00C55FB2">
        <w:rPr>
          <w:rFonts w:ascii="Century" w:eastAsia="Times New Roman" w:hAnsi="Century" w:cs="Times New Roman"/>
          <w:bCs/>
        </w:rPr>
        <w:t>$</w:t>
      </w:r>
      <w:r w:rsidR="00B361ED" w:rsidRPr="00C55FB2">
        <w:rPr>
          <w:rFonts w:ascii="Century" w:eastAsia="Times New Roman" w:hAnsi="Century" w:cs="Times New Roman"/>
          <w:bCs/>
        </w:rPr>
        <w:t>940,448.81</w:t>
      </w:r>
      <w:r w:rsidR="00382189" w:rsidRPr="00C55FB2">
        <w:rPr>
          <w:rFonts w:ascii="Century" w:eastAsia="Times New Roman" w:hAnsi="Century" w:cs="Times New Roman"/>
          <w:bCs/>
        </w:rPr>
        <w:t>,</w:t>
      </w:r>
      <w:r w:rsidR="00624C50" w:rsidRPr="00C55FB2">
        <w:rPr>
          <w:rFonts w:ascii="Century" w:eastAsia="Times New Roman" w:hAnsi="Century" w:cs="Times New Roman"/>
          <w:bCs/>
        </w:rPr>
        <w:t xml:space="preserve"> </w:t>
      </w:r>
      <w:r w:rsidR="00941B2F" w:rsidRPr="00C55FB2">
        <w:rPr>
          <w:rFonts w:ascii="Century" w:eastAsia="Times New Roman" w:hAnsi="Century" w:cs="Times New Roman"/>
          <w:bCs/>
        </w:rPr>
        <w:t>Y RD$</w:t>
      </w:r>
      <w:r w:rsidR="00624C50" w:rsidRPr="00C55FB2">
        <w:rPr>
          <w:rFonts w:ascii="Century" w:eastAsia="Times New Roman" w:hAnsi="Century" w:cs="Times New Roman"/>
          <w:bCs/>
        </w:rPr>
        <w:t xml:space="preserve"> </w:t>
      </w:r>
      <w:r w:rsidR="00AA388A" w:rsidRPr="00C55FB2">
        <w:rPr>
          <w:rFonts w:ascii="Century" w:eastAsia="Times New Roman" w:hAnsi="Century" w:cs="Times New Roman"/>
          <w:bCs/>
        </w:rPr>
        <w:t>9,728.04</w:t>
      </w:r>
      <w:r w:rsidR="00382189" w:rsidRPr="00C55FB2">
        <w:rPr>
          <w:rFonts w:ascii="Century" w:eastAsia="Times New Roman" w:hAnsi="Century" w:cs="Times New Roman"/>
          <w:bCs/>
        </w:rPr>
        <w:t xml:space="preserve"> respectivamente.</w:t>
      </w:r>
    </w:p>
    <w:p w:rsidR="00722944" w:rsidRPr="00722944" w:rsidRDefault="00722944" w:rsidP="00722944">
      <w:pPr>
        <w:spacing w:after="0"/>
        <w:jc w:val="both"/>
        <w:rPr>
          <w:rFonts w:ascii="Century" w:eastAsia="Times New Roman" w:hAnsi="Century" w:cs="Times New Roman"/>
          <w:b/>
          <w:bCs/>
        </w:rPr>
      </w:pPr>
    </w:p>
    <w:p w:rsidR="00722944" w:rsidRPr="00722944" w:rsidRDefault="00722944" w:rsidP="00722944">
      <w:pPr>
        <w:spacing w:after="0"/>
        <w:jc w:val="both"/>
        <w:rPr>
          <w:rFonts w:ascii="Century" w:eastAsia="Times New Roman" w:hAnsi="Century" w:cs="Times New Roman"/>
          <w:b/>
          <w:bCs/>
        </w:rPr>
      </w:pPr>
    </w:p>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6B2A0F" w:rsidP="006B2A0F">
      <w:pPr>
        <w:tabs>
          <w:tab w:val="left" w:pos="3733"/>
        </w:tabs>
      </w:pPr>
      <w:r>
        <w:tab/>
      </w:r>
    </w:p>
    <w:sectPr w:rsidR="00B14E37" w:rsidSect="00630DF1">
      <w:headerReference w:type="default" r:id="rId9"/>
      <w:footerReference w:type="default" r:id="rId10"/>
      <w:pgSz w:w="12240" w:h="15840"/>
      <w:pgMar w:top="1944" w:right="900" w:bottom="709" w:left="993"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6F" w:rsidRDefault="00B6506F" w:rsidP="00391097">
      <w:pPr>
        <w:spacing w:after="0" w:line="240" w:lineRule="auto"/>
      </w:pPr>
      <w:r>
        <w:separator/>
      </w:r>
    </w:p>
  </w:endnote>
  <w:endnote w:type="continuationSeparator" w:id="0">
    <w:p w:rsidR="00B6506F" w:rsidRDefault="00B6506F"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4222893"/>
      <w:docPartObj>
        <w:docPartGallery w:val="Page Numbers (Bottom of Page)"/>
        <w:docPartUnique/>
      </w:docPartObj>
    </w:sdtPr>
    <w:sdtContent>
      <w:p w:rsidR="00C55FB2" w:rsidRDefault="00C55FB2" w:rsidP="007F24D5">
        <w:pPr>
          <w:jc w:val="right"/>
          <w:rPr>
            <w:rFonts w:asciiTheme="majorHAnsi" w:eastAsiaTheme="majorEastAsia" w:hAnsiTheme="majorHAnsi" w:cstheme="majorBidi"/>
          </w:rPr>
        </w:pPr>
        <w:sdt>
          <w:sdtPr>
            <w:rPr>
              <w:rFonts w:asciiTheme="majorHAnsi" w:eastAsiaTheme="majorEastAsia" w:hAnsiTheme="majorHAnsi" w:cstheme="majorBidi"/>
            </w:rPr>
            <w:id w:val="-1395503223"/>
            <w:docPartObj>
              <w:docPartGallery w:val="Page Numbers (Margins)"/>
              <w:docPartUnique/>
            </w:docPartObj>
          </w:sdtPr>
          <w:sdtContent>
            <w:r>
              <w:rPr>
                <w:rFonts w:asciiTheme="majorHAnsi" w:eastAsiaTheme="majorEastAsia" w:hAnsiTheme="majorHAnsi" w:cstheme="majorBidi"/>
                <w:noProof/>
                <w:lang w:eastAsia="es-DO"/>
              </w:rPr>
              <mc:AlternateContent>
                <mc:Choice Requires="wps">
                  <w:drawing>
                    <wp:anchor distT="0" distB="0" distL="114300" distR="114300" simplePos="0" relativeHeight="251663360" behindDoc="0" locked="0" layoutInCell="1" allowOverlap="1" wp14:anchorId="668B953A" wp14:editId="13E8C17E">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C55FB2" w:rsidRDefault="00C55FB2">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52082C" w:rsidRPr="0052082C">
                                    <w:rPr>
                                      <w:b/>
                                      <w:bCs/>
                                      <w:noProof/>
                                      <w:color w:val="FFFFFF" w:themeColor="background1"/>
                                      <w:sz w:val="32"/>
                                      <w:szCs w:val="32"/>
                                      <w:lang w:val="es-ES"/>
                                    </w:rPr>
                                    <w:t>4</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left:0;text-align:left;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DILGrKcgIAAN0EAAAOAAAAAAAAAAAAAAAA&#10;AC4CAABkcnMvZTJvRG9jLnhtbFBLAQItABQABgAIAAAAIQCG+CTi2QAAAAMBAAAPAAAAAAAAAAAA&#10;AAAAAMwEAABkcnMvZG93bnJldi54bWxQSwUGAAAAAAQABADzAAAA0gUAAAAA&#10;" fillcolor="#40618b" stroked="f">
                      <v:textbox inset="0,,0">
                        <w:txbxContent>
                          <w:p w:rsidR="00C55FB2" w:rsidRDefault="00C55FB2">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52082C" w:rsidRPr="0052082C">
                              <w:rPr>
                                <w:b/>
                                <w:bCs/>
                                <w:noProof/>
                                <w:color w:val="FFFFFF" w:themeColor="background1"/>
                                <w:sz w:val="32"/>
                                <w:szCs w:val="32"/>
                                <w:lang w:val="es-ES"/>
                              </w:rPr>
                              <w:t>4</w:t>
                            </w:r>
                            <w:r>
                              <w:rPr>
                                <w:b/>
                                <w:bCs/>
                                <w:color w:val="FFFFFF" w:themeColor="background1"/>
                                <w:sz w:val="32"/>
                                <w:szCs w:val="32"/>
                              </w:rPr>
                              <w:fldChar w:fldCharType="end"/>
                            </w:r>
                          </w:p>
                        </w:txbxContent>
                      </v:textbox>
                      <w10:wrap anchorx="margin" anchory="margin"/>
                    </v:oval>
                  </w:pict>
                </mc:Fallback>
              </mc:AlternateContent>
            </w:r>
          </w:sdtContent>
        </w:sdt>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CIERRE FISCAL 30 DE SEPTIEMBRE 2018</w:t>
        </w:r>
      </w:p>
    </w:sdtContent>
  </w:sdt>
  <w:p w:rsidR="00C55FB2" w:rsidRDefault="00C55F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6F" w:rsidRDefault="00B6506F" w:rsidP="00391097">
      <w:pPr>
        <w:spacing w:after="0" w:line="240" w:lineRule="auto"/>
      </w:pPr>
      <w:r>
        <w:separator/>
      </w:r>
    </w:p>
  </w:footnote>
  <w:footnote w:type="continuationSeparator" w:id="0">
    <w:p w:rsidR="00B6506F" w:rsidRDefault="00B6506F" w:rsidP="0039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B2" w:rsidRDefault="00C55FB2">
    <w:pPr>
      <w:pStyle w:val="Encabezado"/>
    </w:pPr>
    <w:r>
      <w:rPr>
        <w:noProof/>
        <w:lang w:eastAsia="es-DO"/>
      </w:rPr>
      <w:drawing>
        <wp:anchor distT="0" distB="0" distL="114300" distR="114300" simplePos="0" relativeHeight="251659264" behindDoc="1" locked="0" layoutInCell="1" allowOverlap="1" wp14:anchorId="21AF02C9" wp14:editId="520AA3CC">
          <wp:simplePos x="0" y="0"/>
          <wp:positionH relativeFrom="column">
            <wp:posOffset>33655</wp:posOffset>
          </wp:positionH>
          <wp:positionV relativeFrom="paragraph">
            <wp:posOffset>-94827</wp:posOffset>
          </wp:positionV>
          <wp:extent cx="1273810" cy="838835"/>
          <wp:effectExtent l="0" t="0" r="2540" b="0"/>
          <wp:wrapNone/>
          <wp:docPr id="3" name="Imagen 3" descr="C:\Users\FELINO BUENO\Desktop\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indocafePropuesta re branding-06 F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1" t="2360" r="-1285"/>
                  <a:stretch/>
                </pic:blipFill>
                <pic:spPr bwMode="auto">
                  <a:xfrm>
                    <a:off x="0" y="0"/>
                    <a:ext cx="12738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1312" behindDoc="0" locked="0" layoutInCell="1" allowOverlap="1" wp14:anchorId="7D3AAD96" wp14:editId="4F224396">
          <wp:simplePos x="0" y="0"/>
          <wp:positionH relativeFrom="column">
            <wp:posOffset>5434330</wp:posOffset>
          </wp:positionH>
          <wp:positionV relativeFrom="paragraph">
            <wp:posOffset>-98213</wp:posOffset>
          </wp:positionV>
          <wp:extent cx="1149350" cy="952500"/>
          <wp:effectExtent l="0" t="0" r="0" b="0"/>
          <wp:wrapNone/>
          <wp:docPr id="4" name="Imagen 4" descr="C:\Users\FELINO BUENO\Desktop\MEMORIA 2015 correccion dia 5\Links\logo dominican 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MEMORIA 2015 correccion dia 5\Links\logo dominican coff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3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C55FB2" w:rsidRDefault="0034333B" w:rsidP="0034333B">
    <w:pPr>
      <w:pStyle w:val="Encabezado"/>
      <w:tabs>
        <w:tab w:val="clear" w:pos="4252"/>
        <w:tab w:val="clear" w:pos="8504"/>
        <w:tab w:val="left" w:pos="1239"/>
      </w:tabs>
    </w:pPr>
    <w:r>
      <w:tab/>
    </w:r>
  </w:p>
  <w:p w:rsidR="00C55FB2" w:rsidRDefault="00C55FB2">
    <w:pPr>
      <w:pStyle w:val="Encabezado"/>
    </w:pPr>
  </w:p>
  <w:p w:rsidR="00C55FB2" w:rsidRPr="00630DF1" w:rsidRDefault="00C55FB2">
    <w:pPr>
      <w:pStyle w:val="Encabezado"/>
      <w:rPr>
        <w:sz w:val="29"/>
        <w:szCs w:val="29"/>
      </w:rPr>
    </w:pPr>
    <w:r>
      <w:t xml:space="preserve">                                                       </w:t>
    </w:r>
    <w:r w:rsidRPr="00630DF1">
      <w:rPr>
        <w:sz w:val="29"/>
        <w:szCs w:val="29"/>
      </w:rPr>
      <w:t xml:space="preserve">  </w:t>
    </w:r>
    <w:r w:rsidRPr="00630DF1">
      <w:rPr>
        <w:rFonts w:ascii="Times New Roman" w:hAnsi="Times New Roman" w:cs="Times New Roman"/>
        <w:sz w:val="29"/>
        <w:szCs w:val="29"/>
      </w:rPr>
      <w:t>INSTITUTO DOMINICANO DEL CAFÉ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4">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37"/>
    <w:rsid w:val="000000C3"/>
    <w:rsid w:val="0000566B"/>
    <w:rsid w:val="000138C7"/>
    <w:rsid w:val="000169F7"/>
    <w:rsid w:val="000220C1"/>
    <w:rsid w:val="00031544"/>
    <w:rsid w:val="00036921"/>
    <w:rsid w:val="00037D5E"/>
    <w:rsid w:val="0004290E"/>
    <w:rsid w:val="00045497"/>
    <w:rsid w:val="00051ADB"/>
    <w:rsid w:val="0006146A"/>
    <w:rsid w:val="000727ED"/>
    <w:rsid w:val="00075202"/>
    <w:rsid w:val="00076BDB"/>
    <w:rsid w:val="00080825"/>
    <w:rsid w:val="000818D0"/>
    <w:rsid w:val="00085116"/>
    <w:rsid w:val="000A41C6"/>
    <w:rsid w:val="000B4B22"/>
    <w:rsid w:val="000C0C9C"/>
    <w:rsid w:val="000C33F6"/>
    <w:rsid w:val="000C3F6B"/>
    <w:rsid w:val="000C4A90"/>
    <w:rsid w:val="000C6A32"/>
    <w:rsid w:val="000C752E"/>
    <w:rsid w:val="000D3A1C"/>
    <w:rsid w:val="000D41B2"/>
    <w:rsid w:val="000E33C3"/>
    <w:rsid w:val="000E6D44"/>
    <w:rsid w:val="000E7000"/>
    <w:rsid w:val="000F29F2"/>
    <w:rsid w:val="000F3AF9"/>
    <w:rsid w:val="00100793"/>
    <w:rsid w:val="00101477"/>
    <w:rsid w:val="00101F99"/>
    <w:rsid w:val="0011134A"/>
    <w:rsid w:val="00111EB1"/>
    <w:rsid w:val="00114FC4"/>
    <w:rsid w:val="001163F4"/>
    <w:rsid w:val="001203A4"/>
    <w:rsid w:val="00120FDE"/>
    <w:rsid w:val="001223FA"/>
    <w:rsid w:val="00125497"/>
    <w:rsid w:val="00141BA3"/>
    <w:rsid w:val="001437CD"/>
    <w:rsid w:val="00146CBD"/>
    <w:rsid w:val="00147CF5"/>
    <w:rsid w:val="001515BF"/>
    <w:rsid w:val="00153CC3"/>
    <w:rsid w:val="00156087"/>
    <w:rsid w:val="00163DA7"/>
    <w:rsid w:val="00167E00"/>
    <w:rsid w:val="00192FA0"/>
    <w:rsid w:val="001931AB"/>
    <w:rsid w:val="001975CA"/>
    <w:rsid w:val="00197DB5"/>
    <w:rsid w:val="001A22B9"/>
    <w:rsid w:val="001A3318"/>
    <w:rsid w:val="001A3F40"/>
    <w:rsid w:val="001A5D4D"/>
    <w:rsid w:val="001B39AB"/>
    <w:rsid w:val="001B4EBD"/>
    <w:rsid w:val="001B57FD"/>
    <w:rsid w:val="001B64C0"/>
    <w:rsid w:val="001B7FB1"/>
    <w:rsid w:val="001C53FB"/>
    <w:rsid w:val="001C56BE"/>
    <w:rsid w:val="001C7D83"/>
    <w:rsid w:val="001D36EE"/>
    <w:rsid w:val="001D491E"/>
    <w:rsid w:val="001E1B32"/>
    <w:rsid w:val="001E56D4"/>
    <w:rsid w:val="001F7986"/>
    <w:rsid w:val="001F7AA0"/>
    <w:rsid w:val="002000CA"/>
    <w:rsid w:val="00202411"/>
    <w:rsid w:val="0020507D"/>
    <w:rsid w:val="00216399"/>
    <w:rsid w:val="002224EB"/>
    <w:rsid w:val="00227E72"/>
    <w:rsid w:val="00231D5A"/>
    <w:rsid w:val="002352B9"/>
    <w:rsid w:val="002442F9"/>
    <w:rsid w:val="00251C1B"/>
    <w:rsid w:val="00252798"/>
    <w:rsid w:val="00263563"/>
    <w:rsid w:val="00270839"/>
    <w:rsid w:val="00275917"/>
    <w:rsid w:val="00283956"/>
    <w:rsid w:val="00285639"/>
    <w:rsid w:val="00285B35"/>
    <w:rsid w:val="00286282"/>
    <w:rsid w:val="00292FF6"/>
    <w:rsid w:val="00293288"/>
    <w:rsid w:val="00295303"/>
    <w:rsid w:val="0029626B"/>
    <w:rsid w:val="002A7B56"/>
    <w:rsid w:val="002B3412"/>
    <w:rsid w:val="002B3FC1"/>
    <w:rsid w:val="002B4245"/>
    <w:rsid w:val="002B5E7E"/>
    <w:rsid w:val="002B7CFA"/>
    <w:rsid w:val="002C0C02"/>
    <w:rsid w:val="002C1555"/>
    <w:rsid w:val="002C2EC5"/>
    <w:rsid w:val="002C435A"/>
    <w:rsid w:val="002E0C1F"/>
    <w:rsid w:val="002F125A"/>
    <w:rsid w:val="002F24E1"/>
    <w:rsid w:val="002F5A05"/>
    <w:rsid w:val="003116A2"/>
    <w:rsid w:val="003140D8"/>
    <w:rsid w:val="00331BB4"/>
    <w:rsid w:val="0034333B"/>
    <w:rsid w:val="003455D1"/>
    <w:rsid w:val="003467CB"/>
    <w:rsid w:val="003664C8"/>
    <w:rsid w:val="00367BA0"/>
    <w:rsid w:val="00370E5D"/>
    <w:rsid w:val="00373F95"/>
    <w:rsid w:val="00381553"/>
    <w:rsid w:val="00382189"/>
    <w:rsid w:val="00383F3F"/>
    <w:rsid w:val="003847A6"/>
    <w:rsid w:val="00391097"/>
    <w:rsid w:val="00392FA3"/>
    <w:rsid w:val="00394203"/>
    <w:rsid w:val="003943FA"/>
    <w:rsid w:val="0039621D"/>
    <w:rsid w:val="003979FF"/>
    <w:rsid w:val="003A06FD"/>
    <w:rsid w:val="003A69C9"/>
    <w:rsid w:val="003B3C56"/>
    <w:rsid w:val="003B6826"/>
    <w:rsid w:val="003C2450"/>
    <w:rsid w:val="003C5B3E"/>
    <w:rsid w:val="003C6E95"/>
    <w:rsid w:val="003D46F5"/>
    <w:rsid w:val="003E5370"/>
    <w:rsid w:val="003F1407"/>
    <w:rsid w:val="003F1D2C"/>
    <w:rsid w:val="003F7C21"/>
    <w:rsid w:val="003F7D10"/>
    <w:rsid w:val="00400571"/>
    <w:rsid w:val="004027F8"/>
    <w:rsid w:val="004051E5"/>
    <w:rsid w:val="004068F3"/>
    <w:rsid w:val="004074FE"/>
    <w:rsid w:val="00410826"/>
    <w:rsid w:val="004118BA"/>
    <w:rsid w:val="00413E34"/>
    <w:rsid w:val="00414A97"/>
    <w:rsid w:val="00415F05"/>
    <w:rsid w:val="00420E6E"/>
    <w:rsid w:val="0042425B"/>
    <w:rsid w:val="00424BC0"/>
    <w:rsid w:val="00424CF2"/>
    <w:rsid w:val="0042553D"/>
    <w:rsid w:val="00426A18"/>
    <w:rsid w:val="00427042"/>
    <w:rsid w:val="004275C5"/>
    <w:rsid w:val="00430BAF"/>
    <w:rsid w:val="00431D4E"/>
    <w:rsid w:val="00433AEF"/>
    <w:rsid w:val="0043438E"/>
    <w:rsid w:val="00436C96"/>
    <w:rsid w:val="00442BDB"/>
    <w:rsid w:val="0044360D"/>
    <w:rsid w:val="004479B0"/>
    <w:rsid w:val="00453FA6"/>
    <w:rsid w:val="00454178"/>
    <w:rsid w:val="0045540A"/>
    <w:rsid w:val="00456270"/>
    <w:rsid w:val="00456A39"/>
    <w:rsid w:val="0046546E"/>
    <w:rsid w:val="004709D5"/>
    <w:rsid w:val="00471FD8"/>
    <w:rsid w:val="004731D8"/>
    <w:rsid w:val="00475324"/>
    <w:rsid w:val="0047704D"/>
    <w:rsid w:val="00483EC2"/>
    <w:rsid w:val="004853B0"/>
    <w:rsid w:val="00485461"/>
    <w:rsid w:val="0049148F"/>
    <w:rsid w:val="0049411B"/>
    <w:rsid w:val="00496212"/>
    <w:rsid w:val="004A1EFE"/>
    <w:rsid w:val="004A42C1"/>
    <w:rsid w:val="004B574E"/>
    <w:rsid w:val="004C1C2C"/>
    <w:rsid w:val="004D0A84"/>
    <w:rsid w:val="004D343B"/>
    <w:rsid w:val="004D61E1"/>
    <w:rsid w:val="004E1DA3"/>
    <w:rsid w:val="004E28D7"/>
    <w:rsid w:val="004F76C4"/>
    <w:rsid w:val="00503804"/>
    <w:rsid w:val="00511ECA"/>
    <w:rsid w:val="0051355F"/>
    <w:rsid w:val="00514454"/>
    <w:rsid w:val="00514BA3"/>
    <w:rsid w:val="0052082C"/>
    <w:rsid w:val="005210BB"/>
    <w:rsid w:val="0052424C"/>
    <w:rsid w:val="00524324"/>
    <w:rsid w:val="00526F07"/>
    <w:rsid w:val="00527D10"/>
    <w:rsid w:val="0053037F"/>
    <w:rsid w:val="0053345A"/>
    <w:rsid w:val="00536263"/>
    <w:rsid w:val="00537DD2"/>
    <w:rsid w:val="00541795"/>
    <w:rsid w:val="005425DE"/>
    <w:rsid w:val="005462B4"/>
    <w:rsid w:val="005532E2"/>
    <w:rsid w:val="0056088A"/>
    <w:rsid w:val="00560DAC"/>
    <w:rsid w:val="005619FB"/>
    <w:rsid w:val="00571824"/>
    <w:rsid w:val="00572ECE"/>
    <w:rsid w:val="005758FD"/>
    <w:rsid w:val="00581171"/>
    <w:rsid w:val="005812A6"/>
    <w:rsid w:val="00582C86"/>
    <w:rsid w:val="00583A98"/>
    <w:rsid w:val="00591B26"/>
    <w:rsid w:val="005A37FB"/>
    <w:rsid w:val="005A5AE5"/>
    <w:rsid w:val="005B1F9E"/>
    <w:rsid w:val="005B2E9B"/>
    <w:rsid w:val="005B3D36"/>
    <w:rsid w:val="005B48C3"/>
    <w:rsid w:val="005C0D84"/>
    <w:rsid w:val="005C1667"/>
    <w:rsid w:val="005C5BAA"/>
    <w:rsid w:val="005D02A9"/>
    <w:rsid w:val="005D0B13"/>
    <w:rsid w:val="005D28AE"/>
    <w:rsid w:val="005D622D"/>
    <w:rsid w:val="005D72B7"/>
    <w:rsid w:val="005E0EFD"/>
    <w:rsid w:val="005F0356"/>
    <w:rsid w:val="005F03C2"/>
    <w:rsid w:val="005F435C"/>
    <w:rsid w:val="005F59F5"/>
    <w:rsid w:val="006026D8"/>
    <w:rsid w:val="00602E74"/>
    <w:rsid w:val="006215CA"/>
    <w:rsid w:val="006220E2"/>
    <w:rsid w:val="00624C50"/>
    <w:rsid w:val="00630DF1"/>
    <w:rsid w:val="00631FF2"/>
    <w:rsid w:val="0063308B"/>
    <w:rsid w:val="00637998"/>
    <w:rsid w:val="00640E24"/>
    <w:rsid w:val="00641107"/>
    <w:rsid w:val="00643DBF"/>
    <w:rsid w:val="00647B02"/>
    <w:rsid w:val="0065143A"/>
    <w:rsid w:val="00652614"/>
    <w:rsid w:val="00656FF6"/>
    <w:rsid w:val="00660A39"/>
    <w:rsid w:val="00661504"/>
    <w:rsid w:val="006633C5"/>
    <w:rsid w:val="006748DE"/>
    <w:rsid w:val="00675317"/>
    <w:rsid w:val="0068330E"/>
    <w:rsid w:val="006905E9"/>
    <w:rsid w:val="006965F8"/>
    <w:rsid w:val="006A472A"/>
    <w:rsid w:val="006B2A0F"/>
    <w:rsid w:val="006B3062"/>
    <w:rsid w:val="006B6B39"/>
    <w:rsid w:val="006D45FA"/>
    <w:rsid w:val="006D78DE"/>
    <w:rsid w:val="006E41CD"/>
    <w:rsid w:val="006E4E06"/>
    <w:rsid w:val="006E4F4E"/>
    <w:rsid w:val="006E78CE"/>
    <w:rsid w:val="006F6239"/>
    <w:rsid w:val="00700DE0"/>
    <w:rsid w:val="00710552"/>
    <w:rsid w:val="00710936"/>
    <w:rsid w:val="0071105D"/>
    <w:rsid w:val="00721E70"/>
    <w:rsid w:val="00722944"/>
    <w:rsid w:val="0073471A"/>
    <w:rsid w:val="007424CC"/>
    <w:rsid w:val="00744CCA"/>
    <w:rsid w:val="007613E7"/>
    <w:rsid w:val="00763A44"/>
    <w:rsid w:val="00764628"/>
    <w:rsid w:val="00766039"/>
    <w:rsid w:val="00775241"/>
    <w:rsid w:val="00796B59"/>
    <w:rsid w:val="00797B98"/>
    <w:rsid w:val="007A2A9F"/>
    <w:rsid w:val="007B05F2"/>
    <w:rsid w:val="007B62D8"/>
    <w:rsid w:val="007B79FC"/>
    <w:rsid w:val="007C0E6D"/>
    <w:rsid w:val="007C4EFC"/>
    <w:rsid w:val="007C52EB"/>
    <w:rsid w:val="007C588B"/>
    <w:rsid w:val="007C5B01"/>
    <w:rsid w:val="007D19A0"/>
    <w:rsid w:val="007D51D2"/>
    <w:rsid w:val="007D6909"/>
    <w:rsid w:val="007E1276"/>
    <w:rsid w:val="007E1E94"/>
    <w:rsid w:val="007F1303"/>
    <w:rsid w:val="007F24D5"/>
    <w:rsid w:val="007F44B8"/>
    <w:rsid w:val="007F4FED"/>
    <w:rsid w:val="007F7830"/>
    <w:rsid w:val="00801A55"/>
    <w:rsid w:val="00807A80"/>
    <w:rsid w:val="00811D36"/>
    <w:rsid w:val="008156CD"/>
    <w:rsid w:val="00815B06"/>
    <w:rsid w:val="00821825"/>
    <w:rsid w:val="00821CED"/>
    <w:rsid w:val="00822620"/>
    <w:rsid w:val="00822AB9"/>
    <w:rsid w:val="00824650"/>
    <w:rsid w:val="0082687A"/>
    <w:rsid w:val="0083132E"/>
    <w:rsid w:val="00835300"/>
    <w:rsid w:val="0084113F"/>
    <w:rsid w:val="00844103"/>
    <w:rsid w:val="00844903"/>
    <w:rsid w:val="00845F68"/>
    <w:rsid w:val="0084740F"/>
    <w:rsid w:val="00847BA5"/>
    <w:rsid w:val="00857C0E"/>
    <w:rsid w:val="00866F03"/>
    <w:rsid w:val="00872153"/>
    <w:rsid w:val="00874504"/>
    <w:rsid w:val="00886C61"/>
    <w:rsid w:val="008A701D"/>
    <w:rsid w:val="008B00FE"/>
    <w:rsid w:val="008B1F79"/>
    <w:rsid w:val="008B6484"/>
    <w:rsid w:val="008C0AA2"/>
    <w:rsid w:val="008C2D51"/>
    <w:rsid w:val="008C3D57"/>
    <w:rsid w:val="008C47B3"/>
    <w:rsid w:val="008C54DD"/>
    <w:rsid w:val="008C6467"/>
    <w:rsid w:val="008D4B34"/>
    <w:rsid w:val="008D6628"/>
    <w:rsid w:val="008E1AF3"/>
    <w:rsid w:val="008E277E"/>
    <w:rsid w:val="008E409C"/>
    <w:rsid w:val="008E4B91"/>
    <w:rsid w:val="008E6CF9"/>
    <w:rsid w:val="008F0EEA"/>
    <w:rsid w:val="008F1684"/>
    <w:rsid w:val="008F3667"/>
    <w:rsid w:val="008F3701"/>
    <w:rsid w:val="008F608B"/>
    <w:rsid w:val="00906BDE"/>
    <w:rsid w:val="00910BFC"/>
    <w:rsid w:val="00912842"/>
    <w:rsid w:val="009143B5"/>
    <w:rsid w:val="00915B7C"/>
    <w:rsid w:val="00920295"/>
    <w:rsid w:val="00922981"/>
    <w:rsid w:val="0092414D"/>
    <w:rsid w:val="0092630B"/>
    <w:rsid w:val="0093151E"/>
    <w:rsid w:val="0093153F"/>
    <w:rsid w:val="00933A5F"/>
    <w:rsid w:val="00941B2F"/>
    <w:rsid w:val="00953338"/>
    <w:rsid w:val="009548BA"/>
    <w:rsid w:val="00956F71"/>
    <w:rsid w:val="009619F0"/>
    <w:rsid w:val="009634F6"/>
    <w:rsid w:val="00966781"/>
    <w:rsid w:val="0097514B"/>
    <w:rsid w:val="009773E6"/>
    <w:rsid w:val="009807F9"/>
    <w:rsid w:val="00980DE0"/>
    <w:rsid w:val="00981901"/>
    <w:rsid w:val="0098369D"/>
    <w:rsid w:val="00985C58"/>
    <w:rsid w:val="00986A92"/>
    <w:rsid w:val="00986C7C"/>
    <w:rsid w:val="00990A63"/>
    <w:rsid w:val="009945F3"/>
    <w:rsid w:val="00994A8A"/>
    <w:rsid w:val="00997A45"/>
    <w:rsid w:val="00997D34"/>
    <w:rsid w:val="009A27D1"/>
    <w:rsid w:val="009A488D"/>
    <w:rsid w:val="009A7C8B"/>
    <w:rsid w:val="009B2998"/>
    <w:rsid w:val="009B310A"/>
    <w:rsid w:val="009B4B81"/>
    <w:rsid w:val="009E107A"/>
    <w:rsid w:val="009E1571"/>
    <w:rsid w:val="009E3420"/>
    <w:rsid w:val="009E71A8"/>
    <w:rsid w:val="00A11074"/>
    <w:rsid w:val="00A23063"/>
    <w:rsid w:val="00A2363F"/>
    <w:rsid w:val="00A24025"/>
    <w:rsid w:val="00A25B6D"/>
    <w:rsid w:val="00A3371F"/>
    <w:rsid w:val="00A368E2"/>
    <w:rsid w:val="00A37AFF"/>
    <w:rsid w:val="00A43AE0"/>
    <w:rsid w:val="00A516A4"/>
    <w:rsid w:val="00A65217"/>
    <w:rsid w:val="00A66F39"/>
    <w:rsid w:val="00A8241E"/>
    <w:rsid w:val="00A85ECD"/>
    <w:rsid w:val="00A92F9D"/>
    <w:rsid w:val="00A93CD0"/>
    <w:rsid w:val="00A93E5A"/>
    <w:rsid w:val="00A9497C"/>
    <w:rsid w:val="00A96703"/>
    <w:rsid w:val="00A97030"/>
    <w:rsid w:val="00AA207D"/>
    <w:rsid w:val="00AA388A"/>
    <w:rsid w:val="00AA7841"/>
    <w:rsid w:val="00AB2425"/>
    <w:rsid w:val="00AB437D"/>
    <w:rsid w:val="00AB61F1"/>
    <w:rsid w:val="00AC2B9F"/>
    <w:rsid w:val="00AD0609"/>
    <w:rsid w:val="00AD6941"/>
    <w:rsid w:val="00AE11DB"/>
    <w:rsid w:val="00AE211F"/>
    <w:rsid w:val="00AF20E6"/>
    <w:rsid w:val="00AF3ED9"/>
    <w:rsid w:val="00AF7C3F"/>
    <w:rsid w:val="00B032C2"/>
    <w:rsid w:val="00B03440"/>
    <w:rsid w:val="00B0510B"/>
    <w:rsid w:val="00B06644"/>
    <w:rsid w:val="00B12F6C"/>
    <w:rsid w:val="00B140D8"/>
    <w:rsid w:val="00B1464C"/>
    <w:rsid w:val="00B14E37"/>
    <w:rsid w:val="00B27327"/>
    <w:rsid w:val="00B27EC8"/>
    <w:rsid w:val="00B27F0D"/>
    <w:rsid w:val="00B32CB8"/>
    <w:rsid w:val="00B353AC"/>
    <w:rsid w:val="00B35D7A"/>
    <w:rsid w:val="00B361ED"/>
    <w:rsid w:val="00B36EC3"/>
    <w:rsid w:val="00B46291"/>
    <w:rsid w:val="00B4669B"/>
    <w:rsid w:val="00B476E8"/>
    <w:rsid w:val="00B50D63"/>
    <w:rsid w:val="00B52307"/>
    <w:rsid w:val="00B567A6"/>
    <w:rsid w:val="00B569A1"/>
    <w:rsid w:val="00B6374A"/>
    <w:rsid w:val="00B6506F"/>
    <w:rsid w:val="00B67CDC"/>
    <w:rsid w:val="00B751AF"/>
    <w:rsid w:val="00B83779"/>
    <w:rsid w:val="00B83863"/>
    <w:rsid w:val="00B920F0"/>
    <w:rsid w:val="00B92146"/>
    <w:rsid w:val="00B94489"/>
    <w:rsid w:val="00B96DFD"/>
    <w:rsid w:val="00B97CD7"/>
    <w:rsid w:val="00BA146C"/>
    <w:rsid w:val="00BA1E5A"/>
    <w:rsid w:val="00BA2996"/>
    <w:rsid w:val="00BA7F70"/>
    <w:rsid w:val="00BC2B38"/>
    <w:rsid w:val="00BC3962"/>
    <w:rsid w:val="00BC637E"/>
    <w:rsid w:val="00BD3FDC"/>
    <w:rsid w:val="00BD423F"/>
    <w:rsid w:val="00BE1229"/>
    <w:rsid w:val="00BE28F6"/>
    <w:rsid w:val="00BE2D3C"/>
    <w:rsid w:val="00BE511A"/>
    <w:rsid w:val="00BE7AE1"/>
    <w:rsid w:val="00BF3D12"/>
    <w:rsid w:val="00BF70B3"/>
    <w:rsid w:val="00C144C9"/>
    <w:rsid w:val="00C150E2"/>
    <w:rsid w:val="00C15CDD"/>
    <w:rsid w:val="00C16108"/>
    <w:rsid w:val="00C16BB6"/>
    <w:rsid w:val="00C17BAE"/>
    <w:rsid w:val="00C24142"/>
    <w:rsid w:val="00C31AFF"/>
    <w:rsid w:val="00C31FE9"/>
    <w:rsid w:val="00C33A74"/>
    <w:rsid w:val="00C34A49"/>
    <w:rsid w:val="00C35290"/>
    <w:rsid w:val="00C35395"/>
    <w:rsid w:val="00C36B78"/>
    <w:rsid w:val="00C42C5D"/>
    <w:rsid w:val="00C448C8"/>
    <w:rsid w:val="00C44F2A"/>
    <w:rsid w:val="00C5311D"/>
    <w:rsid w:val="00C55FB2"/>
    <w:rsid w:val="00C608AC"/>
    <w:rsid w:val="00C62B93"/>
    <w:rsid w:val="00C71A3C"/>
    <w:rsid w:val="00C77EBF"/>
    <w:rsid w:val="00C80610"/>
    <w:rsid w:val="00C85371"/>
    <w:rsid w:val="00C90604"/>
    <w:rsid w:val="00C9267B"/>
    <w:rsid w:val="00C962B1"/>
    <w:rsid w:val="00CA0F6A"/>
    <w:rsid w:val="00CA1EED"/>
    <w:rsid w:val="00CA30F5"/>
    <w:rsid w:val="00CA71FC"/>
    <w:rsid w:val="00CB396E"/>
    <w:rsid w:val="00CB4B52"/>
    <w:rsid w:val="00CC7532"/>
    <w:rsid w:val="00CD1222"/>
    <w:rsid w:val="00CD2C24"/>
    <w:rsid w:val="00CD7C34"/>
    <w:rsid w:val="00CE5D28"/>
    <w:rsid w:val="00CE663F"/>
    <w:rsid w:val="00CF56AB"/>
    <w:rsid w:val="00D02470"/>
    <w:rsid w:val="00D06D3B"/>
    <w:rsid w:val="00D06EF9"/>
    <w:rsid w:val="00D1375C"/>
    <w:rsid w:val="00D20B29"/>
    <w:rsid w:val="00D229E1"/>
    <w:rsid w:val="00D25F12"/>
    <w:rsid w:val="00D34548"/>
    <w:rsid w:val="00D460CB"/>
    <w:rsid w:val="00D46E59"/>
    <w:rsid w:val="00D55D78"/>
    <w:rsid w:val="00D61F4B"/>
    <w:rsid w:val="00D64B3B"/>
    <w:rsid w:val="00D81E6C"/>
    <w:rsid w:val="00D82F4F"/>
    <w:rsid w:val="00D8394E"/>
    <w:rsid w:val="00D908F0"/>
    <w:rsid w:val="00D91702"/>
    <w:rsid w:val="00D97663"/>
    <w:rsid w:val="00DA066A"/>
    <w:rsid w:val="00DA7570"/>
    <w:rsid w:val="00DA7662"/>
    <w:rsid w:val="00DD37BE"/>
    <w:rsid w:val="00DD46CF"/>
    <w:rsid w:val="00DD5EB9"/>
    <w:rsid w:val="00DE5648"/>
    <w:rsid w:val="00DF3A02"/>
    <w:rsid w:val="00DF47C3"/>
    <w:rsid w:val="00E0008B"/>
    <w:rsid w:val="00E015BA"/>
    <w:rsid w:val="00E027AE"/>
    <w:rsid w:val="00E060F4"/>
    <w:rsid w:val="00E06F9D"/>
    <w:rsid w:val="00E17D27"/>
    <w:rsid w:val="00E17D7D"/>
    <w:rsid w:val="00E20F01"/>
    <w:rsid w:val="00E308E4"/>
    <w:rsid w:val="00E311DE"/>
    <w:rsid w:val="00E33B17"/>
    <w:rsid w:val="00E425CF"/>
    <w:rsid w:val="00E67232"/>
    <w:rsid w:val="00E8023D"/>
    <w:rsid w:val="00E87FE8"/>
    <w:rsid w:val="00E90B4C"/>
    <w:rsid w:val="00E9328A"/>
    <w:rsid w:val="00E95038"/>
    <w:rsid w:val="00E96DD0"/>
    <w:rsid w:val="00EB0E5D"/>
    <w:rsid w:val="00EB26BF"/>
    <w:rsid w:val="00EB72A8"/>
    <w:rsid w:val="00EC09AA"/>
    <w:rsid w:val="00EC25B2"/>
    <w:rsid w:val="00EC7391"/>
    <w:rsid w:val="00ED25AC"/>
    <w:rsid w:val="00ED572C"/>
    <w:rsid w:val="00ED6478"/>
    <w:rsid w:val="00EE08C9"/>
    <w:rsid w:val="00EE0FC7"/>
    <w:rsid w:val="00EE2624"/>
    <w:rsid w:val="00EE3C36"/>
    <w:rsid w:val="00EE47BB"/>
    <w:rsid w:val="00EE75EA"/>
    <w:rsid w:val="00EE7C5A"/>
    <w:rsid w:val="00EF2D19"/>
    <w:rsid w:val="00EF2FFB"/>
    <w:rsid w:val="00EF5290"/>
    <w:rsid w:val="00EF66C5"/>
    <w:rsid w:val="00F17BE3"/>
    <w:rsid w:val="00F21156"/>
    <w:rsid w:val="00F21761"/>
    <w:rsid w:val="00F228C1"/>
    <w:rsid w:val="00F23E57"/>
    <w:rsid w:val="00F2754C"/>
    <w:rsid w:val="00F30DC6"/>
    <w:rsid w:val="00F31227"/>
    <w:rsid w:val="00F40A2D"/>
    <w:rsid w:val="00F40B39"/>
    <w:rsid w:val="00F51334"/>
    <w:rsid w:val="00F555E5"/>
    <w:rsid w:val="00F62076"/>
    <w:rsid w:val="00F64001"/>
    <w:rsid w:val="00F65489"/>
    <w:rsid w:val="00F71FBE"/>
    <w:rsid w:val="00F755A6"/>
    <w:rsid w:val="00F846FA"/>
    <w:rsid w:val="00F909FA"/>
    <w:rsid w:val="00F925EA"/>
    <w:rsid w:val="00F93464"/>
    <w:rsid w:val="00FA0315"/>
    <w:rsid w:val="00FA05CC"/>
    <w:rsid w:val="00FA17CC"/>
    <w:rsid w:val="00FA2FA8"/>
    <w:rsid w:val="00FB1C03"/>
    <w:rsid w:val="00FB7F9B"/>
    <w:rsid w:val="00FC6E1F"/>
    <w:rsid w:val="00FD7529"/>
    <w:rsid w:val="00FE1381"/>
    <w:rsid w:val="00FE378E"/>
    <w:rsid w:val="00FE3B33"/>
    <w:rsid w:val="00FE6472"/>
    <w:rsid w:val="00FF174A"/>
    <w:rsid w:val="00FF362F"/>
    <w:rsid w:val="00FF47F5"/>
    <w:rsid w:val="00FF480A"/>
    <w:rsid w:val="00FF5ABC"/>
    <w:rsid w:val="00FF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3713">
      <w:bodyDiv w:val="1"/>
      <w:marLeft w:val="0"/>
      <w:marRight w:val="0"/>
      <w:marTop w:val="0"/>
      <w:marBottom w:val="0"/>
      <w:divBdr>
        <w:top w:val="none" w:sz="0" w:space="0" w:color="auto"/>
        <w:left w:val="none" w:sz="0" w:space="0" w:color="auto"/>
        <w:bottom w:val="none" w:sz="0" w:space="0" w:color="auto"/>
        <w:right w:val="none" w:sz="0" w:space="0" w:color="auto"/>
      </w:divBdr>
    </w:div>
    <w:div w:id="18716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B08A-32BA-4FA9-B904-8C2B33CF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15</Pages>
  <Words>4062</Words>
  <Characters>22341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Tecnica</dc:creator>
  <cp:lastModifiedBy>CODOCAFE</cp:lastModifiedBy>
  <cp:revision>84</cp:revision>
  <cp:lastPrinted>2018-09-25T19:11:00Z</cp:lastPrinted>
  <dcterms:created xsi:type="dcterms:W3CDTF">2018-09-03T14:33:00Z</dcterms:created>
  <dcterms:modified xsi:type="dcterms:W3CDTF">2018-10-08T13:25:00Z</dcterms:modified>
</cp:coreProperties>
</file>