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50CD0" w14:textId="77777777" w:rsidR="000022A2" w:rsidRDefault="000022A2">
      <w:pPr>
        <w:spacing w:after="0"/>
        <w:ind w:left="31"/>
        <w:jc w:val="center"/>
      </w:pPr>
      <w:r>
        <w:rPr>
          <w:noProof/>
        </w:rPr>
        <w:drawing>
          <wp:inline distT="0" distB="0" distL="0" distR="0" wp14:anchorId="46ED2489" wp14:editId="129F88F1">
            <wp:extent cx="2257425" cy="809625"/>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
                    <a:stretch>
                      <a:fillRect/>
                    </a:stretch>
                  </pic:blipFill>
                  <pic:spPr>
                    <a:xfrm>
                      <a:off x="0" y="0"/>
                      <a:ext cx="2257425" cy="809625"/>
                    </a:xfrm>
                    <a:prstGeom prst="rect">
                      <a:avLst/>
                    </a:prstGeom>
                  </pic:spPr>
                </pic:pic>
              </a:graphicData>
            </a:graphic>
          </wp:inline>
        </w:drawing>
      </w:r>
      <w:r>
        <w:rPr>
          <w:sz w:val="20"/>
        </w:rPr>
        <w:t xml:space="preserve"> </w:t>
      </w:r>
      <w:r>
        <w:t xml:space="preserve"> </w:t>
      </w:r>
    </w:p>
    <w:p w14:paraId="608973FB" w14:textId="77777777" w:rsidR="000022A2" w:rsidRDefault="000022A2">
      <w:pPr>
        <w:spacing w:after="59"/>
        <w:ind w:right="52"/>
        <w:jc w:val="center"/>
      </w:pPr>
      <w:r>
        <w:t xml:space="preserve"> </w:t>
      </w:r>
    </w:p>
    <w:p w14:paraId="14335E05" w14:textId="77777777" w:rsidR="000022A2" w:rsidRDefault="000022A2">
      <w:pPr>
        <w:spacing w:after="0"/>
        <w:ind w:left="108"/>
      </w:pPr>
      <w:r>
        <w:rPr>
          <w:rFonts w:ascii="Calibri" w:eastAsia="Calibri" w:hAnsi="Calibri" w:cs="Calibri"/>
          <w:b/>
          <w:sz w:val="28"/>
        </w:rPr>
        <w:t xml:space="preserve">ALQUILER DE EDIFICIO PARA ALOJAR LA SEDE CENTRAL DE ESTE INSTITUTO.   </w:t>
      </w:r>
    </w:p>
    <w:p w14:paraId="11AAA6A2" w14:textId="41862828" w:rsidR="000022A2" w:rsidRPr="0096724D" w:rsidRDefault="000022A2" w:rsidP="0096724D">
      <w:pPr>
        <w:pStyle w:val="Ttulo1"/>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724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COMPRA DE EXCEPCION PROVEEDOR UNICO INDOCAFE-CCC-PEPU-2022-</w:t>
      </w:r>
      <w:r w:rsidR="0096724D" w:rsidRPr="0096724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0001 Publicado</w:t>
      </w:r>
      <w:r w:rsidRPr="0096724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2</w:t>
      </w:r>
      <w:r w:rsidR="0096724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6724D">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julio del 2022</w:t>
      </w:r>
    </w:p>
    <w:p w14:paraId="5AC74CE6" w14:textId="77777777" w:rsidR="000022A2" w:rsidRDefault="000022A2">
      <w:pPr>
        <w:spacing w:after="0"/>
        <w:ind w:left="812"/>
      </w:pPr>
      <w:r>
        <w:t xml:space="preserve">  </w:t>
      </w:r>
    </w:p>
    <w:p w14:paraId="2ADDE84D" w14:textId="77777777" w:rsidR="000022A2" w:rsidRPr="0096724D" w:rsidRDefault="000022A2">
      <w:pPr>
        <w:ind w:left="822" w:right="85"/>
        <w:rPr>
          <w:b/>
        </w:rPr>
      </w:pPr>
      <w:r w:rsidRPr="0096724D">
        <w:rPr>
          <w:b/>
        </w:rPr>
        <w:t xml:space="preserve">DATOS DEL PROCESO   </w:t>
      </w:r>
    </w:p>
    <w:p w14:paraId="1E259629" w14:textId="77777777" w:rsidR="000022A2" w:rsidRDefault="000022A2">
      <w:pPr>
        <w:spacing w:after="10"/>
        <w:ind w:left="1081"/>
      </w:pPr>
      <w:r>
        <w:t xml:space="preserve">  </w:t>
      </w:r>
      <w:bookmarkStart w:id="0" w:name="_GoBack"/>
      <w:bookmarkEnd w:id="0"/>
    </w:p>
    <w:p w14:paraId="22FE619D" w14:textId="77777777" w:rsidR="000022A2" w:rsidRPr="0096724D" w:rsidRDefault="000022A2" w:rsidP="00E105BE">
      <w:pPr>
        <w:numPr>
          <w:ilvl w:val="0"/>
          <w:numId w:val="1"/>
        </w:numPr>
        <w:spacing w:after="5" w:line="254" w:lineRule="auto"/>
        <w:ind w:right="85" w:hanging="361"/>
        <w:jc w:val="both"/>
        <w:rPr>
          <w:b/>
        </w:rPr>
      </w:pPr>
      <w:r w:rsidRPr="0096724D">
        <w:rPr>
          <w:b/>
        </w:rPr>
        <w:t xml:space="preserve">OBJETO DEL PROCESO  </w:t>
      </w:r>
    </w:p>
    <w:p w14:paraId="13F378CA" w14:textId="77777777" w:rsidR="000022A2" w:rsidRDefault="000022A2">
      <w:pPr>
        <w:ind w:left="3645" w:right="85" w:hanging="3465"/>
      </w:pPr>
      <w:r>
        <w:t xml:space="preserve">El INDOCAFE requiere Alquiler de Edificio para Alojar la Sed Central de Este Instituto en Santo Domingo.  </w:t>
      </w:r>
    </w:p>
    <w:p w14:paraId="7E6D8C0F" w14:textId="77777777" w:rsidR="000022A2" w:rsidRPr="0096724D" w:rsidRDefault="000022A2" w:rsidP="00E105BE">
      <w:pPr>
        <w:numPr>
          <w:ilvl w:val="0"/>
          <w:numId w:val="1"/>
        </w:numPr>
        <w:spacing w:after="5" w:line="254" w:lineRule="auto"/>
        <w:ind w:right="85" w:hanging="361"/>
        <w:jc w:val="both"/>
        <w:rPr>
          <w:b/>
        </w:rPr>
      </w:pPr>
      <w:r w:rsidRPr="0096724D">
        <w:rPr>
          <w:b/>
        </w:rPr>
        <w:t xml:space="preserve">TIPO DE PROCESO Y MODALIDAD SELECCIÓN  </w:t>
      </w:r>
    </w:p>
    <w:p w14:paraId="4BA321DF" w14:textId="77777777" w:rsidR="000022A2" w:rsidRDefault="000022A2">
      <w:pPr>
        <w:ind w:left="1271" w:right="85"/>
      </w:pPr>
      <w:r>
        <w:t xml:space="preserve">La contratación objeto del presente documento será realizada a través del proceso de Compra de Excepción proveedor único.  </w:t>
      </w:r>
    </w:p>
    <w:p w14:paraId="4C573CC1" w14:textId="77777777" w:rsidR="000022A2" w:rsidRDefault="000022A2">
      <w:pPr>
        <w:spacing w:after="13"/>
        <w:ind w:left="1261"/>
      </w:pPr>
      <w:r>
        <w:t xml:space="preserve">  </w:t>
      </w:r>
    </w:p>
    <w:p w14:paraId="49C2A2A9" w14:textId="77777777" w:rsidR="000022A2" w:rsidRPr="0096724D" w:rsidRDefault="000022A2" w:rsidP="00E105BE">
      <w:pPr>
        <w:numPr>
          <w:ilvl w:val="0"/>
          <w:numId w:val="1"/>
        </w:numPr>
        <w:spacing w:after="5" w:line="254" w:lineRule="auto"/>
        <w:ind w:right="85" w:hanging="361"/>
        <w:jc w:val="both"/>
        <w:rPr>
          <w:b/>
        </w:rPr>
      </w:pPr>
      <w:r w:rsidRPr="0096724D">
        <w:rPr>
          <w:b/>
        </w:rPr>
        <w:t xml:space="preserve">ESPECIFICACIONES Y REQUISITOS DEL INDOCAFE   </w:t>
      </w:r>
    </w:p>
    <w:p w14:paraId="4AE71279" w14:textId="77777777" w:rsidR="000022A2" w:rsidRDefault="000022A2">
      <w:pPr>
        <w:spacing w:after="0"/>
        <w:ind w:left="1532"/>
      </w:pPr>
      <w:r>
        <w:t xml:space="preserve">  </w:t>
      </w:r>
    </w:p>
    <w:tbl>
      <w:tblPr>
        <w:tblStyle w:val="TableGrid"/>
        <w:tblW w:w="9631" w:type="dxa"/>
        <w:tblInd w:w="548" w:type="dxa"/>
        <w:tblCellMar>
          <w:top w:w="96" w:type="dxa"/>
          <w:left w:w="115" w:type="dxa"/>
          <w:right w:w="98" w:type="dxa"/>
        </w:tblCellMar>
        <w:tblLook w:val="04A0" w:firstRow="1" w:lastRow="0" w:firstColumn="1" w:lastColumn="0" w:noHBand="0" w:noVBand="1"/>
      </w:tblPr>
      <w:tblGrid>
        <w:gridCol w:w="864"/>
        <w:gridCol w:w="1493"/>
        <w:gridCol w:w="5381"/>
        <w:gridCol w:w="1893"/>
      </w:tblGrid>
      <w:tr w:rsidR="000022A2" w14:paraId="629AF424" w14:textId="77777777">
        <w:trPr>
          <w:trHeight w:val="636"/>
        </w:trPr>
        <w:tc>
          <w:tcPr>
            <w:tcW w:w="864" w:type="dxa"/>
            <w:tcBorders>
              <w:top w:val="single" w:sz="3" w:space="0" w:color="000000"/>
              <w:left w:val="single" w:sz="3" w:space="0" w:color="000000"/>
              <w:bottom w:val="single" w:sz="3" w:space="0" w:color="000000"/>
              <w:right w:val="single" w:sz="3" w:space="0" w:color="000000"/>
            </w:tcBorders>
          </w:tcPr>
          <w:p w14:paraId="1DBC8712" w14:textId="77777777" w:rsidR="000022A2" w:rsidRDefault="000022A2">
            <w:pPr>
              <w:spacing w:line="259" w:lineRule="auto"/>
              <w:ind w:right="23"/>
              <w:jc w:val="center"/>
            </w:pPr>
            <w:r>
              <w:t xml:space="preserve">Ítem  </w:t>
            </w:r>
          </w:p>
        </w:tc>
        <w:tc>
          <w:tcPr>
            <w:tcW w:w="1493" w:type="dxa"/>
            <w:tcBorders>
              <w:top w:val="single" w:sz="3" w:space="0" w:color="000000"/>
              <w:left w:val="single" w:sz="3" w:space="0" w:color="000000"/>
              <w:bottom w:val="single" w:sz="3" w:space="0" w:color="000000"/>
              <w:right w:val="single" w:sz="3" w:space="0" w:color="000000"/>
            </w:tcBorders>
          </w:tcPr>
          <w:p w14:paraId="64969295" w14:textId="77777777" w:rsidR="000022A2" w:rsidRDefault="000022A2">
            <w:pPr>
              <w:spacing w:line="259" w:lineRule="auto"/>
              <w:ind w:right="16"/>
              <w:jc w:val="center"/>
            </w:pPr>
            <w:r>
              <w:t xml:space="preserve">Código  </w:t>
            </w:r>
          </w:p>
        </w:tc>
        <w:tc>
          <w:tcPr>
            <w:tcW w:w="5381" w:type="dxa"/>
            <w:tcBorders>
              <w:top w:val="single" w:sz="3" w:space="0" w:color="000000"/>
              <w:left w:val="single" w:sz="3" w:space="0" w:color="000000"/>
              <w:bottom w:val="single" w:sz="3" w:space="0" w:color="000000"/>
              <w:right w:val="single" w:sz="3" w:space="0" w:color="000000"/>
            </w:tcBorders>
          </w:tcPr>
          <w:p w14:paraId="7F823E2F" w14:textId="77777777" w:rsidR="000022A2" w:rsidRDefault="000022A2">
            <w:pPr>
              <w:spacing w:line="259" w:lineRule="auto"/>
              <w:ind w:right="21"/>
              <w:jc w:val="center"/>
            </w:pPr>
            <w:r>
              <w:t xml:space="preserve">Descripción  </w:t>
            </w:r>
          </w:p>
        </w:tc>
        <w:tc>
          <w:tcPr>
            <w:tcW w:w="1893" w:type="dxa"/>
            <w:tcBorders>
              <w:top w:val="single" w:sz="3" w:space="0" w:color="000000"/>
              <w:left w:val="single" w:sz="3" w:space="0" w:color="000000"/>
              <w:bottom w:val="single" w:sz="3" w:space="0" w:color="000000"/>
              <w:right w:val="single" w:sz="3" w:space="0" w:color="000000"/>
            </w:tcBorders>
          </w:tcPr>
          <w:p w14:paraId="42988C08" w14:textId="77777777" w:rsidR="000022A2" w:rsidRDefault="000022A2">
            <w:pPr>
              <w:spacing w:line="259" w:lineRule="auto"/>
              <w:ind w:right="21"/>
              <w:jc w:val="center"/>
            </w:pPr>
            <w:r>
              <w:t xml:space="preserve">Cantidad </w:t>
            </w:r>
          </w:p>
          <w:p w14:paraId="7140EB97" w14:textId="77777777" w:rsidR="000022A2" w:rsidRDefault="000022A2">
            <w:pPr>
              <w:spacing w:line="259" w:lineRule="auto"/>
              <w:ind w:right="25"/>
              <w:jc w:val="center"/>
            </w:pPr>
            <w:r>
              <w:t xml:space="preserve">Solicitada  </w:t>
            </w:r>
          </w:p>
        </w:tc>
      </w:tr>
      <w:tr w:rsidR="000022A2" w14:paraId="39214C8D" w14:textId="77777777">
        <w:trPr>
          <w:trHeight w:val="348"/>
        </w:trPr>
        <w:tc>
          <w:tcPr>
            <w:tcW w:w="864" w:type="dxa"/>
            <w:tcBorders>
              <w:top w:val="single" w:sz="3" w:space="0" w:color="000000"/>
              <w:left w:val="single" w:sz="3" w:space="0" w:color="000000"/>
              <w:bottom w:val="single" w:sz="3" w:space="0" w:color="000000"/>
              <w:right w:val="single" w:sz="3" w:space="0" w:color="000000"/>
            </w:tcBorders>
          </w:tcPr>
          <w:p w14:paraId="6D9505AE" w14:textId="77777777" w:rsidR="000022A2" w:rsidRDefault="000022A2">
            <w:pPr>
              <w:spacing w:line="259" w:lineRule="auto"/>
              <w:ind w:right="23"/>
              <w:jc w:val="center"/>
            </w:pPr>
            <w:r>
              <w:t xml:space="preserve">1  </w:t>
            </w:r>
          </w:p>
        </w:tc>
        <w:tc>
          <w:tcPr>
            <w:tcW w:w="1493" w:type="dxa"/>
            <w:tcBorders>
              <w:top w:val="single" w:sz="3" w:space="0" w:color="000000"/>
              <w:left w:val="single" w:sz="3" w:space="0" w:color="000000"/>
              <w:bottom w:val="single" w:sz="3" w:space="0" w:color="000000"/>
              <w:right w:val="single" w:sz="3" w:space="0" w:color="000000"/>
            </w:tcBorders>
          </w:tcPr>
          <w:p w14:paraId="0907E70A" w14:textId="77777777" w:rsidR="000022A2" w:rsidRDefault="000022A2">
            <w:pPr>
              <w:spacing w:line="259" w:lineRule="auto"/>
              <w:ind w:right="21"/>
              <w:jc w:val="center"/>
            </w:pPr>
            <w:r>
              <w:t xml:space="preserve">80131502  </w:t>
            </w:r>
          </w:p>
        </w:tc>
        <w:tc>
          <w:tcPr>
            <w:tcW w:w="5381" w:type="dxa"/>
            <w:tcBorders>
              <w:top w:val="single" w:sz="3" w:space="0" w:color="000000"/>
              <w:left w:val="single" w:sz="3" w:space="0" w:color="000000"/>
              <w:bottom w:val="single" w:sz="3" w:space="0" w:color="000000"/>
              <w:right w:val="single" w:sz="3" w:space="0" w:color="000000"/>
            </w:tcBorders>
          </w:tcPr>
          <w:p w14:paraId="0F3723CE" w14:textId="77777777" w:rsidR="000022A2" w:rsidRDefault="000022A2">
            <w:pPr>
              <w:spacing w:line="259" w:lineRule="auto"/>
              <w:ind w:right="31"/>
              <w:jc w:val="center"/>
            </w:pPr>
            <w:r>
              <w:t>ALQUILER DE EFI</w:t>
            </w:r>
            <w:r w:rsidR="0096724D">
              <w:t>DI</w:t>
            </w:r>
            <w:r>
              <w:t xml:space="preserve">CIO COMERCIAL POR 6 MESES </w:t>
            </w:r>
          </w:p>
        </w:tc>
        <w:tc>
          <w:tcPr>
            <w:tcW w:w="1893" w:type="dxa"/>
            <w:tcBorders>
              <w:top w:val="single" w:sz="3" w:space="0" w:color="000000"/>
              <w:left w:val="single" w:sz="3" w:space="0" w:color="000000"/>
              <w:bottom w:val="single" w:sz="3" w:space="0" w:color="000000"/>
              <w:right w:val="single" w:sz="3" w:space="0" w:color="000000"/>
            </w:tcBorders>
          </w:tcPr>
          <w:p w14:paraId="51656004" w14:textId="77777777" w:rsidR="000022A2" w:rsidRDefault="000022A2">
            <w:pPr>
              <w:spacing w:line="259" w:lineRule="auto"/>
              <w:ind w:right="19"/>
              <w:jc w:val="center"/>
            </w:pPr>
            <w:r>
              <w:t xml:space="preserve">6 </w:t>
            </w:r>
          </w:p>
        </w:tc>
      </w:tr>
    </w:tbl>
    <w:p w14:paraId="4D82818F" w14:textId="77777777" w:rsidR="000022A2" w:rsidRDefault="000022A2">
      <w:pPr>
        <w:spacing w:after="18"/>
      </w:pPr>
      <w:r>
        <w:t xml:space="preserve">  </w:t>
      </w:r>
    </w:p>
    <w:p w14:paraId="22B1179A" w14:textId="77777777" w:rsidR="000022A2" w:rsidRDefault="000022A2">
      <w:pPr>
        <w:pStyle w:val="Ttulo1"/>
        <w:spacing w:after="56"/>
        <w:ind w:left="910"/>
      </w:pPr>
      <w:r>
        <w:rPr>
          <w:sz w:val="20"/>
        </w:rPr>
        <w:t>4.</w:t>
      </w:r>
      <w:r>
        <w:rPr>
          <w:rFonts w:ascii="Arial" w:eastAsia="Arial" w:hAnsi="Arial" w:cs="Arial"/>
          <w:sz w:val="20"/>
        </w:rPr>
        <w:t xml:space="preserve"> </w:t>
      </w:r>
      <w:r>
        <w:rPr>
          <w:rFonts w:ascii="Calibri" w:eastAsia="Calibri" w:hAnsi="Calibri" w:cs="Calibri"/>
          <w:b/>
        </w:rPr>
        <w:t xml:space="preserve">CONDICIONES DE PAGO  </w:t>
      </w:r>
    </w:p>
    <w:p w14:paraId="7EE341D0" w14:textId="77777777" w:rsidR="000022A2" w:rsidRDefault="000022A2" w:rsidP="00E105BE">
      <w:pPr>
        <w:numPr>
          <w:ilvl w:val="0"/>
          <w:numId w:val="2"/>
        </w:numPr>
        <w:spacing w:after="26" w:line="254" w:lineRule="auto"/>
        <w:ind w:right="413" w:hanging="360"/>
        <w:jc w:val="both"/>
      </w:pPr>
      <w:r>
        <w:t xml:space="preserve">Se realizarán Pagos fijos mensuales que cubren mensualidad más gastos comunes.  </w:t>
      </w:r>
    </w:p>
    <w:p w14:paraId="6F60C4B7" w14:textId="77777777" w:rsidR="000022A2" w:rsidRDefault="000022A2" w:rsidP="00E105BE">
      <w:pPr>
        <w:numPr>
          <w:ilvl w:val="0"/>
          <w:numId w:val="2"/>
        </w:numPr>
        <w:spacing w:after="51" w:line="254" w:lineRule="auto"/>
        <w:ind w:right="413" w:hanging="360"/>
        <w:jc w:val="both"/>
      </w:pPr>
      <w:r>
        <w:t xml:space="preserve">La gestión de pago se hará a mes cumplido. A este fin, la empresa deberá a final de cada mes emitir una factura en Pesos Dominicanos por concepto de alquiler. El pago se hará previa presentación de factura con Comprobante Gubernamental, la cual será pagada dentro de los 30 días laborables siguientes a su fecha de vencimiento, en base a los precios establecidos en la cotización que deberán quedar fijos.   </w:t>
      </w:r>
    </w:p>
    <w:p w14:paraId="6E679FEE" w14:textId="77777777" w:rsidR="000022A2" w:rsidRDefault="000022A2" w:rsidP="00E105BE">
      <w:pPr>
        <w:numPr>
          <w:ilvl w:val="0"/>
          <w:numId w:val="2"/>
        </w:numPr>
        <w:spacing w:after="51" w:line="254" w:lineRule="auto"/>
        <w:ind w:right="413" w:hanging="360"/>
        <w:jc w:val="both"/>
      </w:pPr>
      <w:r>
        <w:t xml:space="preserve">El oferente adjudicatario deberá mantenerse en todo momento al día con sus obligaciones fiscales y de seguridad social si aplica, para poder recibir los pagos correspondientes a los servicios ofrecidos.  En cada factura podrán ser solicitadas Certificaciones de la DGII y TSS a los fines de gestionar el pago, si por no cumplimiento de estas obligaciones por parte del adjudicatario el INDOCAFE se ve imposibilitado el pago en el tiempo convenido, no aplicará ninguna penalidad por parte de terceros.   </w:t>
      </w:r>
    </w:p>
    <w:p w14:paraId="186F6C9E" w14:textId="77777777" w:rsidR="000022A2" w:rsidRDefault="000022A2" w:rsidP="00E105BE">
      <w:pPr>
        <w:numPr>
          <w:ilvl w:val="0"/>
          <w:numId w:val="2"/>
        </w:numPr>
        <w:spacing w:after="5" w:line="254" w:lineRule="auto"/>
        <w:ind w:right="413" w:hanging="360"/>
        <w:jc w:val="both"/>
      </w:pPr>
      <w:r>
        <w:lastRenderedPageBreak/>
        <w:t xml:space="preserve">Los pagos se harán por transferencia bancaria a la cuenta que el proveedor tenga registrada en DIGECOG, por lo que para recibir los pagos </w:t>
      </w:r>
    </w:p>
    <w:p w14:paraId="05A6A652" w14:textId="77777777" w:rsidR="000022A2" w:rsidRDefault="000022A2">
      <w:pPr>
        <w:spacing w:after="50"/>
        <w:ind w:left="1527" w:right="85"/>
      </w:pPr>
      <w:r>
        <w:t xml:space="preserve">el suplidor debe encontrarse registrado como beneficiario en la Dirección General de Contrataciones Públicas y tener cuenta registrada.  </w:t>
      </w:r>
    </w:p>
    <w:p w14:paraId="65473EC0" w14:textId="77777777" w:rsidR="000022A2" w:rsidRDefault="000022A2" w:rsidP="00E105BE">
      <w:pPr>
        <w:numPr>
          <w:ilvl w:val="0"/>
          <w:numId w:val="2"/>
        </w:numPr>
        <w:spacing w:after="135" w:line="254" w:lineRule="auto"/>
        <w:ind w:right="413" w:hanging="360"/>
        <w:jc w:val="both"/>
      </w:pPr>
      <w:r>
        <w:t xml:space="preserve">El INDOCAFE realiza retención del Impuesto Sobre la Renta de acuerdo con las Normas Legales Vigentes de la Dirección General de Impuestos Internos.  </w:t>
      </w:r>
    </w:p>
    <w:p w14:paraId="793F36F8" w14:textId="77777777" w:rsidR="000022A2" w:rsidRDefault="000022A2">
      <w:pPr>
        <w:spacing w:after="0"/>
      </w:pPr>
      <w:r>
        <w:rPr>
          <w:rFonts w:ascii="Calibri" w:eastAsia="Calibri" w:hAnsi="Calibri" w:cs="Calibri"/>
          <w:b/>
        </w:rPr>
        <w:t xml:space="preserve"> </w:t>
      </w:r>
      <w:r>
        <w:t xml:space="preserve"> </w:t>
      </w:r>
    </w:p>
    <w:p w14:paraId="092CC587" w14:textId="77777777" w:rsidR="000022A2" w:rsidRPr="00E105BE" w:rsidRDefault="000022A2">
      <w:pPr>
        <w:spacing w:after="280"/>
        <w:ind w:right="85"/>
        <w:jc w:val="right"/>
        <w:rPr>
          <w:lang w:val="en-US"/>
        </w:rPr>
      </w:pPr>
      <w:r w:rsidRPr="00E105BE">
        <w:rPr>
          <w:lang w:val="en-US"/>
        </w:rPr>
        <w:t xml:space="preserve">Page </w:t>
      </w:r>
      <w:r w:rsidRPr="00E105BE">
        <w:rPr>
          <w:rFonts w:ascii="Calibri" w:eastAsia="Calibri" w:hAnsi="Calibri" w:cs="Calibri"/>
          <w:b/>
          <w:lang w:val="en-US"/>
        </w:rPr>
        <w:t>1</w:t>
      </w:r>
      <w:r w:rsidRPr="00E105BE">
        <w:rPr>
          <w:lang w:val="en-US"/>
        </w:rPr>
        <w:t xml:space="preserve"> of </w:t>
      </w:r>
      <w:r w:rsidRPr="00E105BE">
        <w:rPr>
          <w:rFonts w:ascii="Calibri" w:eastAsia="Calibri" w:hAnsi="Calibri" w:cs="Calibri"/>
          <w:b/>
          <w:lang w:val="en-US"/>
        </w:rPr>
        <w:t>2</w:t>
      </w:r>
      <w:r w:rsidRPr="00E105BE">
        <w:rPr>
          <w:lang w:val="en-US"/>
        </w:rPr>
        <w:t xml:space="preserve">  </w:t>
      </w:r>
    </w:p>
    <w:p w14:paraId="15A28238" w14:textId="77777777" w:rsidR="000022A2" w:rsidRPr="00E105BE" w:rsidRDefault="0096724D">
      <w:pPr>
        <w:pStyle w:val="Ttulo1"/>
        <w:rPr>
          <w:lang w:val="en-US"/>
        </w:rPr>
      </w:pPr>
      <w:r>
        <w:rPr>
          <w:rFonts w:ascii="Calibri" w:eastAsia="Calibri" w:hAnsi="Calibri" w:cs="Calibri"/>
          <w:color w:val="2F5496"/>
          <w:sz w:val="28"/>
          <w:lang w:val="en-US"/>
        </w:rPr>
        <w:t>INDOCAFE</w:t>
      </w:r>
      <w:r w:rsidR="000022A2" w:rsidRPr="00E105BE">
        <w:rPr>
          <w:rFonts w:ascii="Calibri" w:eastAsia="Calibri" w:hAnsi="Calibri" w:cs="Calibri"/>
          <w:color w:val="2F5496"/>
          <w:sz w:val="28"/>
          <w:lang w:val="en-US"/>
        </w:rPr>
        <w:t xml:space="preserve">-CCC-PEPU-2022-0001 </w:t>
      </w:r>
    </w:p>
    <w:p w14:paraId="166A5E56" w14:textId="77777777" w:rsidR="000022A2" w:rsidRPr="00E105BE" w:rsidRDefault="000022A2">
      <w:pPr>
        <w:spacing w:after="4"/>
        <w:rPr>
          <w:lang w:val="en-US"/>
        </w:rPr>
      </w:pPr>
      <w:r w:rsidRPr="00E105BE">
        <w:rPr>
          <w:lang w:val="en-US"/>
        </w:rPr>
        <w:t xml:space="preserve">  </w:t>
      </w:r>
    </w:p>
    <w:p w14:paraId="09B1C15E" w14:textId="77777777" w:rsidR="000022A2" w:rsidRPr="00E105BE" w:rsidRDefault="000022A2">
      <w:pPr>
        <w:spacing w:after="0"/>
        <w:ind w:left="1172"/>
        <w:rPr>
          <w:lang w:val="en-US"/>
        </w:rPr>
      </w:pPr>
      <w:r w:rsidRPr="00E105BE">
        <w:rPr>
          <w:lang w:val="en-US"/>
        </w:rPr>
        <w:t xml:space="preserve">  </w:t>
      </w:r>
    </w:p>
    <w:p w14:paraId="0353E880" w14:textId="77777777" w:rsidR="000022A2" w:rsidRPr="00E105BE" w:rsidRDefault="000022A2">
      <w:pPr>
        <w:spacing w:after="15"/>
        <w:ind w:left="1172"/>
        <w:rPr>
          <w:lang w:val="en-US"/>
        </w:rPr>
      </w:pPr>
      <w:r w:rsidRPr="00E105BE">
        <w:rPr>
          <w:lang w:val="en-US"/>
        </w:rPr>
        <w:t xml:space="preserve">  </w:t>
      </w:r>
    </w:p>
    <w:p w14:paraId="450B3690" w14:textId="77777777" w:rsidR="000022A2" w:rsidRDefault="000022A2">
      <w:pPr>
        <w:pStyle w:val="Ttulo2"/>
        <w:ind w:left="1152"/>
      </w:pPr>
      <w:r>
        <w:rPr>
          <w:b w:val="0"/>
          <w:sz w:val="20"/>
        </w:rPr>
        <w:t>5.</w:t>
      </w:r>
      <w:r>
        <w:rPr>
          <w:rFonts w:ascii="Arial" w:eastAsia="Arial" w:hAnsi="Arial" w:cs="Arial"/>
          <w:b w:val="0"/>
          <w:sz w:val="20"/>
        </w:rPr>
        <w:t xml:space="preserve"> </w:t>
      </w:r>
      <w:r>
        <w:t xml:space="preserve">MONEDA DE LA OFERTA  </w:t>
      </w:r>
    </w:p>
    <w:p w14:paraId="5A3917C4" w14:textId="77777777" w:rsidR="000022A2" w:rsidRDefault="000022A2">
      <w:pPr>
        <w:ind w:left="1631" w:right="85"/>
      </w:pPr>
      <w:r>
        <w:t xml:space="preserve">El precio de la oferta deberá estar expresado en moneda nacional, (Pesos Dominicanos, RD$). El oferente/proponente que cotice en cualquier moneda distinta al Peso Domiciano (RD$), no será tomando en cuenta para la adjudicación.  </w:t>
      </w:r>
    </w:p>
    <w:p w14:paraId="5B51A8CC" w14:textId="77777777" w:rsidR="000022A2" w:rsidRDefault="000022A2">
      <w:pPr>
        <w:spacing w:after="14"/>
        <w:ind w:left="1277"/>
      </w:pPr>
      <w:r>
        <w:t xml:space="preserve">  </w:t>
      </w:r>
    </w:p>
    <w:p w14:paraId="66C577D8" w14:textId="77777777" w:rsidR="000022A2" w:rsidRDefault="000022A2">
      <w:pPr>
        <w:pStyle w:val="Ttulo2"/>
        <w:ind w:left="1152"/>
      </w:pPr>
      <w:r>
        <w:rPr>
          <w:b w:val="0"/>
          <w:sz w:val="20"/>
        </w:rPr>
        <w:t>6.</w:t>
      </w:r>
      <w:r>
        <w:rPr>
          <w:rFonts w:ascii="Arial" w:eastAsia="Arial" w:hAnsi="Arial" w:cs="Arial"/>
          <w:b w:val="0"/>
          <w:sz w:val="20"/>
        </w:rPr>
        <w:t xml:space="preserve"> </w:t>
      </w:r>
      <w:r>
        <w:t xml:space="preserve">DOCUMENTOS PARA PRESENTAR  </w:t>
      </w:r>
    </w:p>
    <w:p w14:paraId="40937C39" w14:textId="77777777" w:rsidR="000022A2" w:rsidRDefault="000022A2">
      <w:pPr>
        <w:spacing w:after="109"/>
        <w:ind w:left="1532"/>
      </w:pPr>
      <w:r>
        <w:t xml:space="preserve">  </w:t>
      </w:r>
    </w:p>
    <w:p w14:paraId="75117FFA" w14:textId="77777777" w:rsidR="000022A2" w:rsidRDefault="000022A2" w:rsidP="00E105BE">
      <w:pPr>
        <w:numPr>
          <w:ilvl w:val="0"/>
          <w:numId w:val="3"/>
        </w:numPr>
        <w:spacing w:after="44" w:line="254" w:lineRule="auto"/>
        <w:ind w:right="85" w:hanging="360"/>
        <w:jc w:val="both"/>
      </w:pPr>
      <w:r>
        <w:t xml:space="preserve">Formulario SNCC.F.033 Oferta Económica o documento similar (Cotización) que incluya la información económica. No Subsanable   </w:t>
      </w:r>
    </w:p>
    <w:p w14:paraId="3B67A1E4" w14:textId="77777777" w:rsidR="000022A2" w:rsidRDefault="000022A2" w:rsidP="00E105BE">
      <w:pPr>
        <w:numPr>
          <w:ilvl w:val="0"/>
          <w:numId w:val="3"/>
        </w:numPr>
        <w:spacing w:after="4" w:line="256" w:lineRule="auto"/>
        <w:ind w:right="85" w:hanging="360"/>
        <w:jc w:val="both"/>
      </w:pPr>
      <w:r>
        <w:rPr>
          <w:rFonts w:ascii="Calibri" w:eastAsia="Calibri" w:hAnsi="Calibri" w:cs="Calibri"/>
        </w:rPr>
        <w:t xml:space="preserve">Documento “Recepción y Lectura del Código de Ética” debidamente firmado </w:t>
      </w:r>
      <w:r>
        <w:t xml:space="preserve">y sellado. El Código de Ética y el Volante están publicados en nuestro portal </w:t>
      </w:r>
      <w:hyperlink r:id="rId6">
        <w:r>
          <w:rPr>
            <w:rFonts w:ascii="Calibri" w:eastAsia="Calibri" w:hAnsi="Calibri" w:cs="Calibri"/>
            <w:b/>
            <w:color w:val="0563C1"/>
            <w:u w:val="single" w:color="0563C1"/>
          </w:rPr>
          <w:t>http://indocafe.gob.do/transparencia/index.php</w:t>
        </w:r>
      </w:hyperlink>
      <w:hyperlink r:id="rId7">
        <w:r>
          <w:t>,</w:t>
        </w:r>
      </w:hyperlink>
      <w:r>
        <w:t xml:space="preserve"> el Código de Ética de la institución en su última versión. Esto solo aplica para aquellas empresas que no lo hayan depositado en los registros de la TSS. Subsanable </w:t>
      </w:r>
    </w:p>
    <w:p w14:paraId="11BA7C47" w14:textId="77777777" w:rsidR="000022A2" w:rsidRDefault="000022A2">
      <w:pPr>
        <w:spacing w:after="161"/>
        <w:ind w:left="720"/>
      </w:pPr>
      <w:r>
        <w:t xml:space="preserve"> </w:t>
      </w:r>
    </w:p>
    <w:p w14:paraId="3A3E581B" w14:textId="77777777" w:rsidR="000022A2" w:rsidRDefault="000022A2" w:rsidP="00E105BE">
      <w:pPr>
        <w:numPr>
          <w:ilvl w:val="0"/>
          <w:numId w:val="3"/>
        </w:numPr>
        <w:spacing w:after="5" w:line="254" w:lineRule="auto"/>
        <w:ind w:right="85" w:hanging="360"/>
        <w:jc w:val="both"/>
      </w:pPr>
      <w:r>
        <w:t xml:space="preserve">Oferta técnica de la edificación. </w:t>
      </w:r>
    </w:p>
    <w:p w14:paraId="04C6D303" w14:textId="77777777" w:rsidR="000022A2" w:rsidRDefault="000022A2">
      <w:pPr>
        <w:spacing w:after="0"/>
        <w:ind w:left="1261"/>
      </w:pPr>
      <w:r>
        <w:t xml:space="preserve"> </w:t>
      </w:r>
    </w:p>
    <w:p w14:paraId="5A99CD57" w14:textId="77777777" w:rsidR="000022A2" w:rsidRDefault="000022A2">
      <w:pPr>
        <w:spacing w:after="36"/>
        <w:ind w:left="1605"/>
      </w:pPr>
      <w:r>
        <w:t xml:space="preserve"> </w:t>
      </w:r>
    </w:p>
    <w:p w14:paraId="596765BC" w14:textId="77777777" w:rsidR="000022A2" w:rsidRDefault="000022A2">
      <w:pPr>
        <w:pStyle w:val="Ttulo2"/>
        <w:spacing w:after="109"/>
        <w:ind w:left="1451"/>
      </w:pPr>
      <w:r>
        <w:rPr>
          <w:b w:val="0"/>
        </w:rPr>
        <w:t xml:space="preserve"> 7.</w:t>
      </w:r>
      <w:r>
        <w:rPr>
          <w:rFonts w:ascii="Arial" w:eastAsia="Arial" w:hAnsi="Arial" w:cs="Arial"/>
        </w:rPr>
        <w:t xml:space="preserve"> </w:t>
      </w:r>
      <w:r>
        <w:t>TERMINOS Y CONDICIONES</w:t>
      </w:r>
      <w:r>
        <w:rPr>
          <w:b w:val="0"/>
        </w:rPr>
        <w:t xml:space="preserve">  </w:t>
      </w:r>
    </w:p>
    <w:p w14:paraId="6EB6C30C" w14:textId="77777777" w:rsidR="000022A2" w:rsidRDefault="000022A2" w:rsidP="00E105BE">
      <w:pPr>
        <w:numPr>
          <w:ilvl w:val="0"/>
          <w:numId w:val="4"/>
        </w:numPr>
        <w:spacing w:after="32" w:line="254" w:lineRule="auto"/>
        <w:ind w:right="85" w:hanging="360"/>
        <w:jc w:val="both"/>
      </w:pPr>
      <w:r>
        <w:t xml:space="preserve">Para ser evaluada y adjudicada la propuesta el proveedor debe encontrarse inscrito en el Registro de Proveedores del Estado y encontrarse al día en sus obligaciones fiscales y de Seguridad Social. Tener RPE vigente y activo con fecha de actualización de menos de dos (02) años, contar con una cuenta registrada como Beneficiario en DIGECOG y contar en el RPE con la actividad comercial correspondiente a cada ítem.  </w:t>
      </w:r>
    </w:p>
    <w:p w14:paraId="746596D2" w14:textId="77777777" w:rsidR="000022A2" w:rsidRDefault="000022A2" w:rsidP="00E105BE">
      <w:pPr>
        <w:numPr>
          <w:ilvl w:val="0"/>
          <w:numId w:val="4"/>
        </w:numPr>
        <w:spacing w:after="5" w:line="254" w:lineRule="auto"/>
        <w:ind w:right="85" w:hanging="360"/>
        <w:jc w:val="both"/>
      </w:pPr>
      <w:r>
        <w:t xml:space="preserve">No se acepta variación en los precios ofertados, la remisión de la propuesta indica la aceptación de lo establecido en los presentes Términos de Presentación de Propuestas.  </w:t>
      </w:r>
    </w:p>
    <w:p w14:paraId="7857F30B" w14:textId="77777777" w:rsidR="000022A2" w:rsidRDefault="0096724D" w:rsidP="00E105BE">
      <w:pPr>
        <w:numPr>
          <w:ilvl w:val="0"/>
          <w:numId w:val="4"/>
        </w:numPr>
        <w:spacing w:after="5" w:line="254" w:lineRule="auto"/>
        <w:ind w:right="85" w:hanging="360"/>
        <w:jc w:val="both"/>
      </w:pPr>
      <w:r>
        <w:t>El INDOCAFE</w:t>
      </w:r>
      <w:r w:rsidR="000022A2">
        <w:t xml:space="preserve"> notificará al proveedor cualquier ajuste en el calendario de entrega a los fines de cumplimiento de los procedimientos internos de recepción de bienes y servicios  </w:t>
      </w:r>
    </w:p>
    <w:p w14:paraId="6113D778" w14:textId="77777777" w:rsidR="000022A2" w:rsidRDefault="000022A2" w:rsidP="00E105BE">
      <w:pPr>
        <w:numPr>
          <w:ilvl w:val="0"/>
          <w:numId w:val="4"/>
        </w:numPr>
        <w:spacing w:after="0"/>
        <w:ind w:right="85" w:hanging="360"/>
        <w:jc w:val="both"/>
      </w:pPr>
      <w:r>
        <w:t xml:space="preserve">La remisión de la cotización indica la aceptación de los términos establecidos.  </w:t>
      </w:r>
    </w:p>
    <w:p w14:paraId="513DF4C7" w14:textId="77777777" w:rsidR="000022A2" w:rsidRDefault="000022A2" w:rsidP="00E105BE">
      <w:pPr>
        <w:numPr>
          <w:ilvl w:val="0"/>
          <w:numId w:val="4"/>
        </w:numPr>
        <w:spacing w:after="5" w:line="254" w:lineRule="auto"/>
        <w:ind w:right="85" w:hanging="360"/>
        <w:jc w:val="both"/>
      </w:pPr>
      <w:r>
        <w:lastRenderedPageBreak/>
        <w:t xml:space="preserve">La unidad de medida debe ser exactamente la solicitada por la </w:t>
      </w:r>
      <w:r w:rsidR="0096724D">
        <w:t>el INDOCAFE</w:t>
      </w:r>
      <w:r>
        <w:t xml:space="preserve">, en caso contrario, no será considerado el artículo para adjudicar.  </w:t>
      </w:r>
    </w:p>
    <w:p w14:paraId="50E45C7F" w14:textId="77777777" w:rsidR="000022A2" w:rsidRDefault="000022A2">
      <w:pPr>
        <w:spacing w:after="16"/>
        <w:ind w:left="1532"/>
      </w:pPr>
      <w:r>
        <w:t xml:space="preserve">  </w:t>
      </w:r>
    </w:p>
    <w:p w14:paraId="63BD44AF" w14:textId="77777777" w:rsidR="000022A2" w:rsidRDefault="000022A2">
      <w:pPr>
        <w:ind w:left="1160" w:right="85"/>
      </w:pPr>
      <w:r>
        <w:rPr>
          <w:sz w:val="20"/>
        </w:rPr>
        <w:t>8.</w:t>
      </w:r>
      <w:r>
        <w:rPr>
          <w:rFonts w:ascii="Arial" w:eastAsia="Arial" w:hAnsi="Arial" w:cs="Arial"/>
          <w:sz w:val="20"/>
        </w:rPr>
        <w:t xml:space="preserve"> </w:t>
      </w:r>
      <w:r>
        <w:t xml:space="preserve">CONTACTO   </w:t>
      </w:r>
    </w:p>
    <w:p w14:paraId="6F00D187" w14:textId="77777777" w:rsidR="0096724D" w:rsidRDefault="000022A2">
      <w:pPr>
        <w:spacing w:after="4" w:line="256" w:lineRule="auto"/>
        <w:ind w:left="1532" w:right="82"/>
      </w:pPr>
      <w:r>
        <w:t>Para consultas sobre el proceso puede comunicarse con el Departamento de Compras y Contrataciones</w:t>
      </w:r>
      <w:r w:rsidR="0096724D">
        <w:t>.</w:t>
      </w:r>
      <w:r>
        <w:t xml:space="preserve"> </w:t>
      </w:r>
    </w:p>
    <w:p w14:paraId="0D730DB9" w14:textId="77777777" w:rsidR="000022A2" w:rsidRDefault="000022A2">
      <w:pPr>
        <w:spacing w:after="4" w:line="256" w:lineRule="auto"/>
        <w:ind w:left="1532" w:right="82"/>
      </w:pPr>
      <w:r>
        <w:t xml:space="preserve"> Correo electrónico: </w:t>
      </w:r>
    </w:p>
    <w:p w14:paraId="11E2386B" w14:textId="77777777" w:rsidR="0096724D" w:rsidRDefault="000022A2">
      <w:pPr>
        <w:ind w:left="1542" w:right="362"/>
      </w:pPr>
      <w:r>
        <w:rPr>
          <w:color w:val="0563C1"/>
          <w:u w:val="single" w:color="0563C1"/>
        </w:rPr>
        <w:t>comprasycontrataciones@indocafe.gob.do/dgarabitos@indocafe.gob.do</w:t>
      </w:r>
      <w:r>
        <w:t xml:space="preserve">,  </w:t>
      </w:r>
    </w:p>
    <w:p w14:paraId="2E9B1BEA" w14:textId="77777777" w:rsidR="000022A2" w:rsidRDefault="000022A2">
      <w:pPr>
        <w:ind w:left="1542" w:right="362"/>
      </w:pPr>
      <w:r>
        <w:t xml:space="preserve">Dirección: C/Rafael Damirón esq. Jiménez Moya, Centro de los Héroes, frente al Liceo Frances, Santo Domingo, D.N. </w:t>
      </w:r>
    </w:p>
    <w:p w14:paraId="0F8ABEF2" w14:textId="77777777" w:rsidR="000022A2" w:rsidRDefault="000022A2">
      <w:pPr>
        <w:ind w:left="1542" w:right="85"/>
      </w:pPr>
      <w:r>
        <w:t xml:space="preserve">Teléfono: 809-533-1984 / 809-650-2443 </w:t>
      </w:r>
    </w:p>
    <w:p w14:paraId="58CC02B5" w14:textId="77777777" w:rsidR="000022A2" w:rsidRDefault="000022A2">
      <w:pPr>
        <w:spacing w:after="0"/>
        <w:ind w:left="1441"/>
      </w:pPr>
      <w:r>
        <w:t xml:space="preserve">  </w:t>
      </w:r>
    </w:p>
    <w:p w14:paraId="2590CDD2" w14:textId="77777777" w:rsidR="000022A2" w:rsidRDefault="000022A2">
      <w:pPr>
        <w:spacing w:after="0"/>
        <w:jc w:val="right"/>
      </w:pPr>
      <w:r>
        <w:t xml:space="preserve"> </w:t>
      </w:r>
    </w:p>
    <w:p w14:paraId="3F34B2A0" w14:textId="77777777" w:rsidR="000022A2" w:rsidRDefault="000022A2">
      <w:pPr>
        <w:spacing w:after="2"/>
      </w:pPr>
      <w:r>
        <w:t xml:space="preserve">Pág. </w:t>
      </w:r>
      <w:r>
        <w:rPr>
          <w:rFonts w:ascii="Calibri" w:eastAsia="Calibri" w:hAnsi="Calibri" w:cs="Calibri"/>
          <w:b/>
        </w:rPr>
        <w:t>2</w:t>
      </w:r>
      <w:r>
        <w:t xml:space="preserve"> de </w:t>
      </w:r>
      <w:r>
        <w:rPr>
          <w:rFonts w:ascii="Calibri" w:eastAsia="Calibri" w:hAnsi="Calibri" w:cs="Calibri"/>
          <w:b/>
        </w:rPr>
        <w:t>2</w:t>
      </w:r>
      <w:r>
        <w:t xml:space="preserve">  </w:t>
      </w:r>
    </w:p>
    <w:p w14:paraId="63B58CF3" w14:textId="77777777" w:rsidR="000022A2" w:rsidRDefault="000022A2">
      <w:pPr>
        <w:spacing w:after="0"/>
      </w:pPr>
      <w:r>
        <w:t xml:space="preserve">  </w:t>
      </w:r>
    </w:p>
    <w:sectPr w:rsidR="0000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59E6"/>
    <w:multiLevelType w:val="hybridMultilevel"/>
    <w:tmpl w:val="1B0CE126"/>
    <w:lvl w:ilvl="0" w:tplc="19C60ED6">
      <w:start w:val="1"/>
      <w:numFmt w:val="bullet"/>
      <w:lvlText w:val="•"/>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64BC6">
      <w:start w:val="1"/>
      <w:numFmt w:val="bullet"/>
      <w:lvlText w:val="o"/>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AD226">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C9982">
      <w:start w:val="1"/>
      <w:numFmt w:val="bullet"/>
      <w:lvlText w:val="•"/>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EB4E2">
      <w:start w:val="1"/>
      <w:numFmt w:val="bullet"/>
      <w:lvlText w:val="o"/>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50E886">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6DAE2">
      <w:start w:val="1"/>
      <w:numFmt w:val="bullet"/>
      <w:lvlText w:val="•"/>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85AE4">
      <w:start w:val="1"/>
      <w:numFmt w:val="bullet"/>
      <w:lvlText w:val="o"/>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8E88DA">
      <w:start w:val="1"/>
      <w:numFmt w:val="bullet"/>
      <w:lvlText w:val="▪"/>
      <w:lvlJc w:val="left"/>
      <w:pPr>
        <w:ind w:left="7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4B0C23"/>
    <w:multiLevelType w:val="hybridMultilevel"/>
    <w:tmpl w:val="9E326D00"/>
    <w:lvl w:ilvl="0" w:tplc="0C403874">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A8F08">
      <w:start w:val="1"/>
      <w:numFmt w:val="bullet"/>
      <w:lvlText w:val="o"/>
      <w:lvlJc w:val="left"/>
      <w:pPr>
        <w:ind w:left="2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CCA6CE">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822118">
      <w:start w:val="1"/>
      <w:numFmt w:val="bullet"/>
      <w:lvlText w:val="•"/>
      <w:lvlJc w:val="left"/>
      <w:pPr>
        <w:ind w:left="3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65874">
      <w:start w:val="1"/>
      <w:numFmt w:val="bullet"/>
      <w:lvlText w:val="o"/>
      <w:lvlJc w:val="left"/>
      <w:pPr>
        <w:ind w:left="4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90FA22">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4CCE52">
      <w:start w:val="1"/>
      <w:numFmt w:val="bullet"/>
      <w:lvlText w:val="•"/>
      <w:lvlJc w:val="left"/>
      <w:pPr>
        <w:ind w:left="5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ED9B6">
      <w:start w:val="1"/>
      <w:numFmt w:val="bullet"/>
      <w:lvlText w:val="o"/>
      <w:lvlJc w:val="left"/>
      <w:pPr>
        <w:ind w:left="6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384A52">
      <w:start w:val="1"/>
      <w:numFmt w:val="bullet"/>
      <w:lvlText w:val="▪"/>
      <w:lvlJc w:val="left"/>
      <w:pPr>
        <w:ind w:left="7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0D03F2"/>
    <w:multiLevelType w:val="hybridMultilevel"/>
    <w:tmpl w:val="FEC4601E"/>
    <w:lvl w:ilvl="0" w:tplc="B1CC788C">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121EA4">
      <w:start w:val="1"/>
      <w:numFmt w:val="bullet"/>
      <w:lvlText w:val="o"/>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3E74D2">
      <w:start w:val="1"/>
      <w:numFmt w:val="bullet"/>
      <w:lvlText w:val="▪"/>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EAE070">
      <w:start w:val="1"/>
      <w:numFmt w:val="bullet"/>
      <w:lvlText w:val="•"/>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82F072">
      <w:start w:val="1"/>
      <w:numFmt w:val="bullet"/>
      <w:lvlText w:val="o"/>
      <w:lvlJc w:val="left"/>
      <w:pPr>
        <w:ind w:left="4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DC89F6">
      <w:start w:val="1"/>
      <w:numFmt w:val="bullet"/>
      <w:lvlText w:val="▪"/>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A01C8C">
      <w:start w:val="1"/>
      <w:numFmt w:val="bullet"/>
      <w:lvlText w:val="•"/>
      <w:lvlJc w:val="left"/>
      <w:pPr>
        <w:ind w:left="5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EA358">
      <w:start w:val="1"/>
      <w:numFmt w:val="bullet"/>
      <w:lvlText w:val="o"/>
      <w:lvlJc w:val="left"/>
      <w:pPr>
        <w:ind w:left="6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566992">
      <w:start w:val="1"/>
      <w:numFmt w:val="bullet"/>
      <w:lvlText w:val="▪"/>
      <w:lvlJc w:val="left"/>
      <w:pPr>
        <w:ind w:left="7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5B0881"/>
    <w:multiLevelType w:val="hybridMultilevel"/>
    <w:tmpl w:val="E1D098CA"/>
    <w:lvl w:ilvl="0" w:tplc="18F03788">
      <w:start w:val="1"/>
      <w:numFmt w:val="decimal"/>
      <w:lvlText w:val="%1."/>
      <w:lvlJc w:val="left"/>
      <w:pPr>
        <w:ind w:left="1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44580E">
      <w:start w:val="1"/>
      <w:numFmt w:val="lowerLetter"/>
      <w:lvlText w:val="%2"/>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623EBE">
      <w:start w:val="1"/>
      <w:numFmt w:val="lowerRoman"/>
      <w:lvlText w:val="%3"/>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CC1384">
      <w:start w:val="1"/>
      <w:numFmt w:val="decimal"/>
      <w:lvlText w:val="%4"/>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B2EEC6">
      <w:start w:val="1"/>
      <w:numFmt w:val="lowerLetter"/>
      <w:lvlText w:val="%5"/>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EAA052">
      <w:start w:val="1"/>
      <w:numFmt w:val="lowerRoman"/>
      <w:lvlText w:val="%6"/>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1AB810">
      <w:start w:val="1"/>
      <w:numFmt w:val="decimal"/>
      <w:lvlText w:val="%7"/>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A61580">
      <w:start w:val="1"/>
      <w:numFmt w:val="lowerLetter"/>
      <w:lvlText w:val="%8"/>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92A316">
      <w:start w:val="1"/>
      <w:numFmt w:val="lowerRoman"/>
      <w:lvlText w:val="%9"/>
      <w:lvlJc w:val="left"/>
      <w:pPr>
        <w:ind w:left="7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A2"/>
    <w:rsid w:val="000022A2"/>
    <w:rsid w:val="009672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A8CA"/>
  <w15:chartTrackingRefBased/>
  <w15:docId w15:val="{EE76C051-4DE6-4E73-B000-DEDA9000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2A2"/>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next w:val="Normal"/>
    <w:link w:val="Ttulo2Car"/>
    <w:uiPriority w:val="9"/>
    <w:unhideWhenUsed/>
    <w:qFormat/>
    <w:rsid w:val="000022A2"/>
    <w:pPr>
      <w:keepNext/>
      <w:keepLines/>
      <w:spacing w:after="0"/>
      <w:ind w:left="910"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2A2"/>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0022A2"/>
    <w:rPr>
      <w:rFonts w:ascii="Calibri" w:eastAsia="Calibri" w:hAnsi="Calibri" w:cs="Calibri"/>
      <w:b/>
      <w:color w:val="000000"/>
      <w:sz w:val="24"/>
    </w:rPr>
  </w:style>
  <w:style w:type="table" w:customStyle="1" w:styleId="TableGrid">
    <w:name w:val="TableGrid"/>
    <w:rsid w:val="000022A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docafe.gob.do/transparencia/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ocafe.gob.do/transparencia/index.php"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698</Words>
  <Characters>3842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COMPRAS</cp:lastModifiedBy>
  <cp:revision>3</cp:revision>
  <cp:lastPrinted>2022-07-21T17:09:00Z</cp:lastPrinted>
  <dcterms:created xsi:type="dcterms:W3CDTF">2022-07-21T17:01:00Z</dcterms:created>
  <dcterms:modified xsi:type="dcterms:W3CDTF">2022-07-21T17:09:00Z</dcterms:modified>
</cp:coreProperties>
</file>